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98A0" w14:textId="49EFDD77" w:rsidR="009C14A3" w:rsidRPr="00651450" w:rsidRDefault="009C14A3" w:rsidP="009C14A3">
      <w:pPr>
        <w:pStyle w:val="Bezproreda"/>
        <w:spacing w:line="360" w:lineRule="auto"/>
        <w:jc w:val="both"/>
        <w:rPr>
          <w:rFonts w:asciiTheme="majorHAnsi" w:hAnsiTheme="majorHAnsi" w:cstheme="majorHAnsi"/>
        </w:rPr>
      </w:pPr>
      <w:bookmarkStart w:id="0" w:name="_Hlk58605238"/>
      <w:bookmarkEnd w:id="0"/>
      <w:r w:rsidRPr="00651450">
        <w:rPr>
          <w:rFonts w:asciiTheme="majorHAnsi" w:hAnsiTheme="majorHAnsi" w:cstheme="majorHAnsi"/>
          <w:noProof/>
          <w:lang w:val="hr-HR" w:eastAsia="hr-HR"/>
        </w:rPr>
        <w:drawing>
          <wp:anchor distT="0" distB="0" distL="114300" distR="114300" simplePos="0" relativeHeight="251659264" behindDoc="1" locked="0" layoutInCell="1" allowOverlap="1" wp14:anchorId="439C7767" wp14:editId="1025D71C">
            <wp:simplePos x="0" y="0"/>
            <wp:positionH relativeFrom="page">
              <wp:posOffset>127221</wp:posOffset>
            </wp:positionH>
            <wp:positionV relativeFrom="paragraph">
              <wp:posOffset>-120567</wp:posOffset>
            </wp:positionV>
            <wp:extent cx="7359650" cy="3800724"/>
            <wp:effectExtent l="0" t="0" r="0" b="952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0" cy="3800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09E06B8" w14:textId="77777777" w:rsidR="009C14A3" w:rsidRPr="00651450" w:rsidRDefault="009C14A3" w:rsidP="009C14A3">
      <w:pPr>
        <w:pStyle w:val="Bezproreda"/>
        <w:spacing w:line="360" w:lineRule="auto"/>
        <w:jc w:val="both"/>
        <w:rPr>
          <w:rFonts w:asciiTheme="majorHAnsi" w:hAnsiTheme="majorHAnsi" w:cstheme="majorHAnsi"/>
        </w:rPr>
      </w:pPr>
    </w:p>
    <w:p w14:paraId="09749D75" w14:textId="77777777" w:rsidR="009C14A3" w:rsidRPr="00651450" w:rsidRDefault="009C14A3" w:rsidP="009C14A3">
      <w:pPr>
        <w:pStyle w:val="Bezproreda"/>
        <w:spacing w:line="360" w:lineRule="auto"/>
        <w:jc w:val="both"/>
        <w:rPr>
          <w:rFonts w:asciiTheme="majorHAnsi" w:hAnsiTheme="majorHAnsi" w:cstheme="majorHAnsi"/>
        </w:rPr>
      </w:pPr>
    </w:p>
    <w:p w14:paraId="59C95876" w14:textId="77777777" w:rsidR="009C14A3" w:rsidRPr="00651450" w:rsidRDefault="009C14A3" w:rsidP="009C14A3">
      <w:pPr>
        <w:pStyle w:val="Bezproreda"/>
        <w:spacing w:line="360" w:lineRule="auto"/>
        <w:jc w:val="both"/>
        <w:rPr>
          <w:rFonts w:asciiTheme="majorHAnsi" w:hAnsiTheme="majorHAnsi" w:cstheme="majorHAnsi"/>
        </w:rPr>
      </w:pPr>
    </w:p>
    <w:p w14:paraId="1C53813C" w14:textId="77777777" w:rsidR="009C14A3" w:rsidRPr="00651450" w:rsidRDefault="009C14A3" w:rsidP="009C14A3">
      <w:pPr>
        <w:pStyle w:val="Bezproreda"/>
        <w:spacing w:line="360" w:lineRule="auto"/>
        <w:jc w:val="both"/>
        <w:rPr>
          <w:rFonts w:asciiTheme="majorHAnsi" w:hAnsiTheme="majorHAnsi" w:cstheme="majorHAnsi"/>
        </w:rPr>
      </w:pPr>
    </w:p>
    <w:p w14:paraId="4A919085" w14:textId="77777777" w:rsidR="009C14A3" w:rsidRPr="00651450" w:rsidRDefault="009C14A3" w:rsidP="009C14A3">
      <w:pPr>
        <w:pStyle w:val="Bezproreda"/>
        <w:spacing w:line="360" w:lineRule="auto"/>
        <w:jc w:val="both"/>
        <w:rPr>
          <w:rFonts w:asciiTheme="majorHAnsi" w:hAnsiTheme="majorHAnsi" w:cstheme="majorHAnsi"/>
        </w:rPr>
      </w:pPr>
    </w:p>
    <w:p w14:paraId="4D622139" w14:textId="77777777" w:rsidR="009C14A3" w:rsidRPr="00651450" w:rsidRDefault="009C14A3" w:rsidP="009C14A3">
      <w:pPr>
        <w:pStyle w:val="Bezproreda"/>
        <w:spacing w:line="360" w:lineRule="auto"/>
        <w:jc w:val="both"/>
        <w:rPr>
          <w:rFonts w:asciiTheme="majorHAnsi" w:hAnsiTheme="majorHAnsi" w:cstheme="majorHAnsi"/>
        </w:rPr>
      </w:pPr>
    </w:p>
    <w:p w14:paraId="48A1588E" w14:textId="5161F88E" w:rsidR="009C14A3" w:rsidRPr="00651450" w:rsidRDefault="009C14A3" w:rsidP="009C14A3">
      <w:pPr>
        <w:pStyle w:val="Bezproreda"/>
        <w:spacing w:line="360" w:lineRule="auto"/>
        <w:jc w:val="both"/>
        <w:rPr>
          <w:rFonts w:asciiTheme="majorHAnsi" w:hAnsiTheme="majorHAnsi" w:cstheme="majorHAnsi"/>
        </w:rPr>
      </w:pPr>
    </w:p>
    <w:p w14:paraId="70CF190C" w14:textId="1F834120" w:rsidR="009C14A3" w:rsidRPr="00651450" w:rsidRDefault="009C14A3" w:rsidP="009C14A3">
      <w:pPr>
        <w:pStyle w:val="Bezproreda"/>
        <w:spacing w:line="360" w:lineRule="auto"/>
        <w:jc w:val="both"/>
        <w:rPr>
          <w:rFonts w:asciiTheme="majorHAnsi" w:hAnsiTheme="majorHAnsi" w:cstheme="majorHAnsi"/>
        </w:rPr>
      </w:pPr>
    </w:p>
    <w:p w14:paraId="5400DCEA" w14:textId="77777777" w:rsidR="009C14A3" w:rsidRPr="00651450" w:rsidRDefault="009C14A3" w:rsidP="009C14A3">
      <w:pPr>
        <w:pStyle w:val="Bezproreda"/>
        <w:spacing w:line="360" w:lineRule="auto"/>
        <w:jc w:val="both"/>
        <w:rPr>
          <w:rFonts w:asciiTheme="majorHAnsi" w:hAnsiTheme="majorHAnsi" w:cstheme="majorHAnsi"/>
          <w:color w:val="001F60"/>
        </w:rPr>
      </w:pPr>
    </w:p>
    <w:p w14:paraId="4027EB14" w14:textId="7714E410" w:rsidR="009C14A3" w:rsidRPr="00651450" w:rsidRDefault="009C14A3" w:rsidP="009C14A3">
      <w:pPr>
        <w:pStyle w:val="Bezproreda"/>
        <w:spacing w:line="360" w:lineRule="auto"/>
        <w:jc w:val="both"/>
        <w:rPr>
          <w:rFonts w:asciiTheme="majorHAnsi" w:hAnsiTheme="majorHAnsi" w:cstheme="majorHAnsi"/>
          <w:color w:val="001F60"/>
        </w:rPr>
      </w:pPr>
    </w:p>
    <w:p w14:paraId="56723196" w14:textId="29062BFD" w:rsidR="009C14A3" w:rsidRPr="00651450" w:rsidRDefault="009C14A3" w:rsidP="009C14A3">
      <w:pPr>
        <w:pStyle w:val="Bezproreda"/>
        <w:spacing w:line="360" w:lineRule="auto"/>
        <w:jc w:val="both"/>
        <w:rPr>
          <w:rFonts w:asciiTheme="majorHAnsi" w:hAnsiTheme="majorHAnsi" w:cstheme="majorHAnsi"/>
          <w:color w:val="001F60"/>
        </w:rPr>
      </w:pPr>
    </w:p>
    <w:p w14:paraId="74E50D6F" w14:textId="012CE838" w:rsidR="004C213A" w:rsidRPr="00651450" w:rsidRDefault="00D53E67" w:rsidP="004C213A">
      <w:pPr>
        <w:pStyle w:val="Bezproreda"/>
        <w:spacing w:line="360" w:lineRule="auto"/>
        <w:jc w:val="center"/>
        <w:rPr>
          <w:rFonts w:asciiTheme="majorHAnsi" w:hAnsiTheme="majorHAnsi" w:cstheme="majorHAnsi"/>
          <w:b/>
          <w:bCs/>
          <w:color w:val="001F60"/>
        </w:rPr>
      </w:pPr>
      <w:r w:rsidRPr="00651450">
        <w:rPr>
          <w:rFonts w:asciiTheme="majorHAnsi" w:hAnsiTheme="majorHAnsi" w:cstheme="majorHAnsi"/>
          <w:b/>
          <w:bCs/>
          <w:color w:val="001F60"/>
        </w:rPr>
        <w:t xml:space="preserve">Interna evaluacija </w:t>
      </w:r>
      <w:r w:rsidR="004C213A" w:rsidRPr="00651450">
        <w:rPr>
          <w:rFonts w:asciiTheme="majorHAnsi" w:hAnsiTheme="majorHAnsi" w:cstheme="majorHAnsi"/>
          <w:b/>
          <w:bCs/>
          <w:color w:val="001F60"/>
        </w:rPr>
        <w:t>Lokalne razvojne strategije LAG SAVA</w:t>
      </w:r>
    </w:p>
    <w:p w14:paraId="1241432E" w14:textId="2F979765" w:rsidR="004C213A" w:rsidRPr="00651450" w:rsidRDefault="004C213A" w:rsidP="004C213A">
      <w:pPr>
        <w:pStyle w:val="Bezproreda"/>
        <w:spacing w:line="360" w:lineRule="auto"/>
        <w:jc w:val="center"/>
        <w:rPr>
          <w:rFonts w:asciiTheme="majorHAnsi" w:hAnsiTheme="majorHAnsi" w:cstheme="majorHAnsi"/>
          <w:b/>
          <w:bCs/>
          <w:color w:val="001F60"/>
        </w:rPr>
      </w:pPr>
      <w:r w:rsidRPr="00651450">
        <w:rPr>
          <w:rFonts w:asciiTheme="majorHAnsi" w:hAnsiTheme="majorHAnsi" w:cstheme="majorHAnsi"/>
          <w:b/>
          <w:bCs/>
          <w:color w:val="001F60"/>
        </w:rPr>
        <w:t>za razdoblje 2014.-2020. s uključenim prijelaznim</w:t>
      </w:r>
    </w:p>
    <w:p w14:paraId="6D226763" w14:textId="51FE8E37" w:rsidR="00562E24" w:rsidRPr="00651450" w:rsidRDefault="004C213A" w:rsidP="004C213A">
      <w:pPr>
        <w:pStyle w:val="Bezproreda"/>
        <w:spacing w:line="360" w:lineRule="auto"/>
        <w:jc w:val="center"/>
        <w:rPr>
          <w:rFonts w:asciiTheme="majorHAnsi" w:hAnsiTheme="majorHAnsi" w:cstheme="majorHAnsi"/>
          <w:b/>
          <w:bCs/>
          <w:color w:val="001F60"/>
        </w:rPr>
      </w:pPr>
      <w:r w:rsidRPr="00651450">
        <w:rPr>
          <w:rFonts w:asciiTheme="majorHAnsi" w:hAnsiTheme="majorHAnsi" w:cstheme="majorHAnsi"/>
          <w:b/>
          <w:bCs/>
          <w:color w:val="001F60"/>
        </w:rPr>
        <w:t>razdobljem 2021. i 2022. godin</w:t>
      </w:r>
      <w:r w:rsidR="00E7109F" w:rsidRPr="00651450">
        <w:rPr>
          <w:rFonts w:asciiTheme="majorHAnsi" w:hAnsiTheme="majorHAnsi" w:cstheme="majorHAnsi"/>
          <w:b/>
          <w:bCs/>
          <w:color w:val="001F60"/>
        </w:rPr>
        <w:t>e</w:t>
      </w:r>
    </w:p>
    <w:p w14:paraId="384C7CBD" w14:textId="2F2AAA86" w:rsidR="00E7109F" w:rsidRPr="00651450" w:rsidRDefault="00E7109F" w:rsidP="004C213A">
      <w:pPr>
        <w:pStyle w:val="Bezproreda"/>
        <w:spacing w:line="360" w:lineRule="auto"/>
        <w:jc w:val="center"/>
        <w:rPr>
          <w:rFonts w:asciiTheme="majorHAnsi" w:hAnsiTheme="majorHAnsi" w:cstheme="majorHAnsi"/>
          <w:b/>
          <w:bCs/>
          <w:color w:val="001F60"/>
        </w:rPr>
      </w:pPr>
    </w:p>
    <w:p w14:paraId="33F7326D" w14:textId="00BAD6F1" w:rsidR="003C7050" w:rsidRPr="00651450" w:rsidRDefault="003C7050" w:rsidP="004C213A">
      <w:pPr>
        <w:pStyle w:val="Bezproreda"/>
        <w:spacing w:line="360" w:lineRule="auto"/>
        <w:jc w:val="center"/>
        <w:rPr>
          <w:rFonts w:asciiTheme="majorHAnsi" w:hAnsiTheme="majorHAnsi" w:cstheme="majorHAnsi"/>
          <w:b/>
          <w:bCs/>
          <w:color w:val="001F60"/>
        </w:rPr>
      </w:pPr>
      <w:r w:rsidRPr="00651450">
        <w:rPr>
          <w:rFonts w:asciiTheme="majorHAnsi" w:hAnsiTheme="majorHAnsi" w:cstheme="majorHAnsi"/>
          <w:b/>
          <w:bCs/>
          <w:color w:val="001F60"/>
        </w:rPr>
        <w:t>Evaluacija za razdoblje 2014.-202</w:t>
      </w:r>
      <w:r w:rsidR="00D74E5A">
        <w:rPr>
          <w:rFonts w:asciiTheme="majorHAnsi" w:hAnsiTheme="majorHAnsi" w:cstheme="majorHAnsi"/>
          <w:b/>
          <w:bCs/>
          <w:color w:val="001F60"/>
        </w:rPr>
        <w:t>5</w:t>
      </w:r>
      <w:r w:rsidRPr="00651450">
        <w:rPr>
          <w:rFonts w:asciiTheme="majorHAnsi" w:hAnsiTheme="majorHAnsi" w:cstheme="majorHAnsi"/>
          <w:b/>
          <w:bCs/>
          <w:color w:val="001F60"/>
        </w:rPr>
        <w:t>.</w:t>
      </w:r>
    </w:p>
    <w:p w14:paraId="1A1DEE22" w14:textId="77777777" w:rsidR="00E80F22" w:rsidRDefault="00E80F22" w:rsidP="004C213A">
      <w:pPr>
        <w:pStyle w:val="Bezproreda"/>
        <w:spacing w:line="360" w:lineRule="auto"/>
        <w:jc w:val="center"/>
        <w:rPr>
          <w:rFonts w:asciiTheme="majorHAnsi" w:hAnsiTheme="majorHAnsi" w:cstheme="majorHAnsi"/>
          <w:b/>
          <w:bCs/>
          <w:color w:val="001F60"/>
        </w:rPr>
      </w:pPr>
    </w:p>
    <w:p w14:paraId="6FFD8D27" w14:textId="18D40DB1" w:rsidR="000A5255" w:rsidRPr="00651450" w:rsidRDefault="00EC4EE5" w:rsidP="004C213A">
      <w:pPr>
        <w:pStyle w:val="Bezproreda"/>
        <w:spacing w:line="360" w:lineRule="auto"/>
        <w:jc w:val="center"/>
        <w:rPr>
          <w:rFonts w:asciiTheme="majorHAnsi" w:hAnsiTheme="majorHAnsi" w:cstheme="majorHAnsi"/>
          <w:b/>
          <w:bCs/>
          <w:color w:val="001F60"/>
        </w:rPr>
      </w:pPr>
      <w:r w:rsidRPr="00651450">
        <w:rPr>
          <w:rFonts w:asciiTheme="majorHAnsi" w:hAnsiTheme="majorHAnsi" w:cstheme="majorHAnsi"/>
          <w:b/>
          <w:bCs/>
          <w:color w:val="001F60"/>
        </w:rPr>
        <w:t>Izvršiteljica:</w:t>
      </w:r>
      <w:r w:rsidR="000A5255" w:rsidRPr="00651450">
        <w:rPr>
          <w:rFonts w:asciiTheme="majorHAnsi" w:hAnsiTheme="majorHAnsi" w:cstheme="majorHAnsi"/>
          <w:b/>
          <w:bCs/>
          <w:color w:val="001F60"/>
        </w:rPr>
        <w:t xml:space="preserve"> voditeljica LAG-a SAVA</w:t>
      </w:r>
    </w:p>
    <w:p w14:paraId="20F2DC75" w14:textId="259103AB" w:rsidR="00EC4EE5" w:rsidRPr="00651450" w:rsidRDefault="00EC4EE5" w:rsidP="004C213A">
      <w:pPr>
        <w:pStyle w:val="Bezproreda"/>
        <w:spacing w:line="360" w:lineRule="auto"/>
        <w:jc w:val="center"/>
        <w:rPr>
          <w:rFonts w:asciiTheme="majorHAnsi" w:hAnsiTheme="majorHAnsi" w:cstheme="majorHAnsi"/>
          <w:b/>
          <w:bCs/>
          <w:color w:val="001F60"/>
        </w:rPr>
      </w:pPr>
      <w:r w:rsidRPr="00651450">
        <w:rPr>
          <w:rFonts w:asciiTheme="majorHAnsi" w:hAnsiTheme="majorHAnsi" w:cstheme="majorHAnsi"/>
          <w:b/>
          <w:bCs/>
          <w:color w:val="001F60"/>
        </w:rPr>
        <w:t>Maja Čičko, mag.ing.agr</w:t>
      </w:r>
      <w:r w:rsidR="000A5255" w:rsidRPr="00651450">
        <w:rPr>
          <w:rFonts w:asciiTheme="majorHAnsi" w:hAnsiTheme="majorHAnsi" w:cstheme="majorHAnsi"/>
          <w:b/>
          <w:bCs/>
          <w:color w:val="001F60"/>
        </w:rPr>
        <w:t>.</w:t>
      </w:r>
    </w:p>
    <w:p w14:paraId="67C46A95" w14:textId="5FFD50E4" w:rsidR="000A5255" w:rsidRDefault="000A5255" w:rsidP="004C213A">
      <w:pPr>
        <w:pStyle w:val="Bezproreda"/>
        <w:spacing w:line="360" w:lineRule="auto"/>
        <w:jc w:val="center"/>
        <w:rPr>
          <w:rFonts w:asciiTheme="majorHAnsi" w:hAnsiTheme="majorHAnsi" w:cstheme="majorHAnsi"/>
          <w:b/>
          <w:bCs/>
        </w:rPr>
      </w:pPr>
    </w:p>
    <w:p w14:paraId="461F3F02" w14:textId="479A6499" w:rsidR="00E80F22" w:rsidRDefault="00E80F22" w:rsidP="004C213A">
      <w:pPr>
        <w:pStyle w:val="Bezproreda"/>
        <w:spacing w:line="360" w:lineRule="auto"/>
        <w:jc w:val="center"/>
        <w:rPr>
          <w:rFonts w:asciiTheme="majorHAnsi" w:hAnsiTheme="majorHAnsi" w:cstheme="majorHAnsi"/>
          <w:b/>
          <w:bCs/>
        </w:rPr>
      </w:pPr>
    </w:p>
    <w:p w14:paraId="01376CC5" w14:textId="38D32F8D" w:rsidR="00E80F22" w:rsidRDefault="00E80F22" w:rsidP="004C213A">
      <w:pPr>
        <w:pStyle w:val="Bezproreda"/>
        <w:spacing w:line="360" w:lineRule="auto"/>
        <w:jc w:val="center"/>
        <w:rPr>
          <w:rFonts w:asciiTheme="majorHAnsi" w:hAnsiTheme="majorHAnsi" w:cstheme="majorHAnsi"/>
          <w:b/>
          <w:bCs/>
        </w:rPr>
      </w:pPr>
      <w:r w:rsidRPr="00651450">
        <w:rPr>
          <w:rFonts w:asciiTheme="majorHAnsi" w:hAnsiTheme="majorHAnsi" w:cstheme="majorHAnsi"/>
          <w:i/>
          <w:iCs/>
          <w:noProof/>
          <w:lang w:val="hr-HR" w:eastAsia="hr-HR"/>
        </w:rPr>
        <w:drawing>
          <wp:anchor distT="0" distB="0" distL="114300" distR="114300" simplePos="0" relativeHeight="251660288" behindDoc="0" locked="0" layoutInCell="1" allowOverlap="1" wp14:anchorId="09636F9A" wp14:editId="759DAB8F">
            <wp:simplePos x="0" y="0"/>
            <wp:positionH relativeFrom="margin">
              <wp:posOffset>967740</wp:posOffset>
            </wp:positionH>
            <wp:positionV relativeFrom="paragraph">
              <wp:posOffset>269933</wp:posOffset>
            </wp:positionV>
            <wp:extent cx="3912870" cy="2302510"/>
            <wp:effectExtent l="0" t="0" r="0" b="2540"/>
            <wp:wrapTopAndBottom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2870" cy="230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C4873" w14:textId="10ABE3A7" w:rsidR="00E80F22" w:rsidRDefault="00E80F22" w:rsidP="004C213A">
      <w:pPr>
        <w:pStyle w:val="Bezproreda"/>
        <w:spacing w:line="360" w:lineRule="auto"/>
        <w:jc w:val="center"/>
        <w:rPr>
          <w:rFonts w:asciiTheme="majorHAnsi" w:hAnsiTheme="majorHAnsi" w:cstheme="majorHAnsi"/>
          <w:b/>
          <w:bCs/>
        </w:rPr>
      </w:pPr>
    </w:p>
    <w:p w14:paraId="1CAEB04B" w14:textId="77777777" w:rsidR="00E80F22" w:rsidRPr="00651450" w:rsidRDefault="00E80F22" w:rsidP="004C213A">
      <w:pPr>
        <w:pStyle w:val="Bezproreda"/>
        <w:spacing w:line="360" w:lineRule="auto"/>
        <w:jc w:val="center"/>
        <w:rPr>
          <w:rFonts w:asciiTheme="majorHAnsi" w:hAnsiTheme="majorHAnsi" w:cstheme="majorHAnsi"/>
          <w:b/>
          <w:bCs/>
        </w:rPr>
      </w:pPr>
    </w:p>
    <w:p w14:paraId="427BD799" w14:textId="38C90830" w:rsidR="00E7109F" w:rsidRPr="00651450" w:rsidRDefault="00EC4EE5" w:rsidP="004C213A">
      <w:pPr>
        <w:pStyle w:val="Bezproreda"/>
        <w:spacing w:line="360" w:lineRule="auto"/>
        <w:jc w:val="center"/>
        <w:rPr>
          <w:rStyle w:val="Jakoisticanje"/>
          <w:rFonts w:asciiTheme="majorHAnsi" w:hAnsiTheme="majorHAnsi" w:cstheme="majorHAnsi"/>
        </w:rPr>
      </w:pPr>
      <w:r w:rsidRPr="00651450">
        <w:rPr>
          <w:rStyle w:val="Jakoisticanje"/>
          <w:rFonts w:asciiTheme="majorHAnsi" w:hAnsiTheme="majorHAnsi" w:cstheme="majorHAnsi"/>
        </w:rPr>
        <w:t xml:space="preserve">Zaprešić, </w:t>
      </w:r>
      <w:r w:rsidR="00240436">
        <w:rPr>
          <w:rStyle w:val="Jakoisticanje"/>
          <w:rFonts w:asciiTheme="majorHAnsi" w:hAnsiTheme="majorHAnsi" w:cstheme="majorHAnsi"/>
        </w:rPr>
        <w:t>studeni 2025</w:t>
      </w:r>
      <w:r w:rsidRPr="00651450">
        <w:rPr>
          <w:rStyle w:val="Jakoisticanje"/>
          <w:rFonts w:asciiTheme="majorHAnsi" w:hAnsiTheme="majorHAnsi" w:cstheme="majorHAnsi"/>
        </w:rPr>
        <w:t>.</w:t>
      </w:r>
    </w:p>
    <w:sdt>
      <w:sdtPr>
        <w:rPr>
          <w:rFonts w:asciiTheme="majorHAnsi" w:hAnsiTheme="majorHAnsi" w:cstheme="majorHAnsi"/>
          <w:b/>
          <w:bCs/>
          <w:caps/>
          <w:sz w:val="20"/>
          <w:szCs w:val="20"/>
        </w:rPr>
        <w:id w:val="-151367018"/>
        <w:docPartObj>
          <w:docPartGallery w:val="Table of Contents"/>
          <w:docPartUnique/>
        </w:docPartObj>
      </w:sdtPr>
      <w:sdtContent>
        <w:p w14:paraId="7FC07EA8" w14:textId="77777777" w:rsidR="00E80F22" w:rsidRPr="00651450" w:rsidRDefault="00E80F22" w:rsidP="00E80F22">
          <w:pPr>
            <w:pStyle w:val="Bezproreda"/>
            <w:rPr>
              <w:rFonts w:asciiTheme="majorHAnsi" w:hAnsiTheme="majorHAnsi" w:cstheme="majorHAnsi"/>
              <w:color w:val="4472C4" w:themeColor="accent1"/>
            </w:rPr>
          </w:pPr>
          <w:r w:rsidRPr="00651450">
            <w:rPr>
              <w:rFonts w:asciiTheme="majorHAnsi" w:hAnsiTheme="majorHAnsi" w:cstheme="majorHAnsi"/>
              <w:color w:val="4472C4" w:themeColor="accent1"/>
            </w:rPr>
            <w:t>Sadržaj</w:t>
          </w:r>
        </w:p>
        <w:p w14:paraId="2A6CD21C" w14:textId="13CFBB20" w:rsidR="007C0B46" w:rsidRDefault="00E80F22">
          <w:pPr>
            <w:pStyle w:val="Sadra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r w:rsidRPr="00651450">
            <w:rPr>
              <w:rFonts w:asciiTheme="majorHAnsi" w:hAnsiTheme="majorHAnsi" w:cstheme="majorHAnsi"/>
              <w:b w:val="0"/>
              <w:bCs w:val="0"/>
              <w:caps w:val="0"/>
              <w:sz w:val="22"/>
              <w:szCs w:val="22"/>
            </w:rPr>
            <w:fldChar w:fldCharType="begin"/>
          </w:r>
          <w:r w:rsidRPr="00651450">
            <w:rPr>
              <w:rFonts w:asciiTheme="majorHAnsi" w:hAnsiTheme="majorHAnsi" w:cstheme="majorHAnsi"/>
              <w:b w:val="0"/>
              <w:bCs w:val="0"/>
              <w:caps w:val="0"/>
              <w:sz w:val="22"/>
              <w:szCs w:val="22"/>
            </w:rPr>
            <w:instrText xml:space="preserve"> TOC \o "1-3" \h \z \u </w:instrText>
          </w:r>
          <w:r w:rsidRPr="00651450">
            <w:rPr>
              <w:rFonts w:asciiTheme="majorHAnsi" w:hAnsiTheme="majorHAnsi" w:cstheme="majorHAnsi"/>
              <w:b w:val="0"/>
              <w:bCs w:val="0"/>
              <w:caps w:val="0"/>
              <w:sz w:val="22"/>
              <w:szCs w:val="22"/>
            </w:rPr>
            <w:fldChar w:fldCharType="separate"/>
          </w:r>
          <w:hyperlink w:anchor="_Toc212823160" w:history="1">
            <w:r w:rsidR="007C0B46" w:rsidRPr="002D23E1">
              <w:rPr>
                <w:rStyle w:val="Hiperveza"/>
                <w:i/>
                <w:iCs/>
                <w:noProof/>
              </w:rPr>
              <w:t>Popis kratica</w:t>
            </w:r>
            <w:r w:rsidR="007C0B46">
              <w:rPr>
                <w:noProof/>
                <w:webHidden/>
              </w:rPr>
              <w:tab/>
            </w:r>
            <w:r w:rsidR="007C0B46">
              <w:rPr>
                <w:noProof/>
                <w:webHidden/>
              </w:rPr>
              <w:fldChar w:fldCharType="begin"/>
            </w:r>
            <w:r w:rsidR="007C0B46">
              <w:rPr>
                <w:noProof/>
                <w:webHidden/>
              </w:rPr>
              <w:instrText xml:space="preserve"> PAGEREF _Toc212823160 \h </w:instrText>
            </w:r>
            <w:r w:rsidR="007C0B46">
              <w:rPr>
                <w:noProof/>
                <w:webHidden/>
              </w:rPr>
            </w:r>
            <w:r w:rsidR="007C0B46">
              <w:rPr>
                <w:noProof/>
                <w:webHidden/>
              </w:rPr>
              <w:fldChar w:fldCharType="separate"/>
            </w:r>
            <w:r w:rsidR="007C0B46">
              <w:rPr>
                <w:noProof/>
                <w:webHidden/>
              </w:rPr>
              <w:t>3</w:t>
            </w:r>
            <w:r w:rsidR="007C0B46">
              <w:rPr>
                <w:noProof/>
                <w:webHidden/>
              </w:rPr>
              <w:fldChar w:fldCharType="end"/>
            </w:r>
          </w:hyperlink>
        </w:p>
        <w:p w14:paraId="2BC53545" w14:textId="7B5A3700" w:rsidR="007C0B46" w:rsidRDefault="007C0B46">
          <w:pPr>
            <w:pStyle w:val="Sadra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61" w:history="1">
            <w:r w:rsidRPr="002D23E1">
              <w:rPr>
                <w:rStyle w:val="Hiperveza"/>
                <w:noProof/>
              </w:rPr>
              <w:t>Sažetak evaluacije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95B47" w14:textId="580D44C8" w:rsidR="007C0B46" w:rsidRDefault="007C0B46">
          <w:pPr>
            <w:pStyle w:val="Sadra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62" w:history="1">
            <w:r w:rsidRPr="002D23E1">
              <w:rPr>
                <w:rStyle w:val="Hiperveza"/>
                <w:noProof/>
              </w:rPr>
              <w:t>Osobna iskaznica LAG-a SAVA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4F8A02" w14:textId="7E19AC13" w:rsidR="007C0B46" w:rsidRDefault="007C0B46">
          <w:pPr>
            <w:pStyle w:val="Sadra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63" w:history="1">
            <w:r w:rsidRPr="002D23E1">
              <w:rPr>
                <w:rStyle w:val="Hiperveza"/>
                <w:noProof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E590D" w14:textId="117DBD64" w:rsidR="007C0B46" w:rsidRDefault="007C0B46">
          <w:pPr>
            <w:pStyle w:val="Sadra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64" w:history="1">
            <w:r w:rsidRPr="002D23E1">
              <w:rPr>
                <w:rStyle w:val="Hiperveza"/>
                <w:noProof/>
              </w:rPr>
              <w:t>Program ruralnog razvoja Republike Hrvatske za razdoblje 2014. – 2020. (PRR) i Mjera 19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5B17E5" w14:textId="27451CAB" w:rsidR="007C0B46" w:rsidRDefault="007C0B46">
          <w:pPr>
            <w:pStyle w:val="Sadraj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65" w:history="1">
            <w:r w:rsidRPr="002D23E1">
              <w:rPr>
                <w:rStyle w:val="Hiperveza"/>
                <w:noProof/>
              </w:rPr>
              <w:t>19.1. Pripremna pomoć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B093AA" w14:textId="6A9B1C5C" w:rsidR="007C0B46" w:rsidRDefault="007C0B46">
          <w:pPr>
            <w:pStyle w:val="Sadraj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66" w:history="1">
            <w:r w:rsidRPr="002D23E1">
              <w:rPr>
                <w:rStyle w:val="Hiperveza"/>
                <w:rFonts w:cstheme="majorHAnsi"/>
                <w:noProof/>
              </w:rPr>
              <w:t>19.2. Provedba operacija unutar CLLD strategije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DDB1E" w14:textId="065F0D01" w:rsidR="007C0B46" w:rsidRDefault="007C0B46">
          <w:pPr>
            <w:pStyle w:val="Sadraj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67" w:history="1">
            <w:r w:rsidRPr="002D23E1">
              <w:rPr>
                <w:rStyle w:val="Hiperveza"/>
                <w:noProof/>
              </w:rPr>
              <w:t>19.3. Priprema i provedba aktivnosti suradnje LAG-a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BD934" w14:textId="35C4053D" w:rsidR="007C0B46" w:rsidRDefault="007C0B46">
          <w:pPr>
            <w:pStyle w:val="Sadraj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68" w:history="1">
            <w:r w:rsidRPr="002D23E1">
              <w:rPr>
                <w:rStyle w:val="Hiperveza"/>
                <w:noProof/>
              </w:rPr>
              <w:t>19.4. Tekući troškovi i animacija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78686D" w14:textId="5C68C66D" w:rsidR="007C0B46" w:rsidRDefault="007C0B46">
          <w:pPr>
            <w:pStyle w:val="Sadra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69" w:history="1">
            <w:r w:rsidRPr="002D23E1">
              <w:rPr>
                <w:rStyle w:val="Hiperveza"/>
                <w:noProof/>
              </w:rPr>
              <w:t>Lokalne razvojne strategije (LRS)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ACA7B" w14:textId="6C4881AD" w:rsidR="007C0B46" w:rsidRDefault="007C0B46">
          <w:pPr>
            <w:pStyle w:val="Sadra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70" w:history="1">
            <w:r w:rsidRPr="002D23E1">
              <w:rPr>
                <w:rStyle w:val="Hiperveza"/>
                <w:noProof/>
              </w:rPr>
              <w:t>Područje LAG-a SAVA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46A2F4" w14:textId="08326194" w:rsidR="007C0B46" w:rsidRDefault="007C0B46">
          <w:pPr>
            <w:pStyle w:val="Sadra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71" w:history="1">
            <w:r w:rsidRPr="002D23E1">
              <w:rPr>
                <w:rStyle w:val="Hiperveza"/>
                <w:noProof/>
              </w:rPr>
              <w:t>Strateški okvir LRS SAVA  2014.-2020 . s prijelaznim razdobljem 2021.-2022., 6. izmjena usvojena 2022. godine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65569" w14:textId="2330AF42" w:rsidR="007C0B46" w:rsidRDefault="007C0B46">
          <w:pPr>
            <w:pStyle w:val="Sadraj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72" w:history="1">
            <w:r w:rsidRPr="002D23E1">
              <w:rPr>
                <w:rStyle w:val="Hiperveza"/>
                <w:noProof/>
              </w:rPr>
              <w:t>Tablica 1 : Popis izmjena LRS unutar perioda evaluacije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679733" w14:textId="74FA9E54" w:rsidR="007C0B46" w:rsidRDefault="007C0B46">
          <w:pPr>
            <w:pStyle w:val="Sadraj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73" w:history="1">
            <w:r w:rsidRPr="002D23E1">
              <w:rPr>
                <w:rStyle w:val="Hiperveza"/>
                <w:noProof/>
              </w:rPr>
              <w:t>Tablica 2: Dodijeljena sredstva LAG-u SAVA unutar TO 19.1,19.2,19.3.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207BAE" w14:textId="00971702" w:rsidR="007C0B46" w:rsidRDefault="007C0B46">
          <w:pPr>
            <w:pStyle w:val="Sadraj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74" w:history="1">
            <w:r w:rsidRPr="002D23E1">
              <w:rPr>
                <w:rStyle w:val="Hiperveza"/>
                <w:rFonts w:cstheme="majorHAnsi"/>
                <w:noProof/>
              </w:rPr>
              <w:t>Tablica 3: Dokumenti na temelju kojih su se dodjeljivala sredstva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5C1A9" w14:textId="0633650B" w:rsidR="007C0B46" w:rsidRDefault="007C0B46">
          <w:pPr>
            <w:pStyle w:val="Sadra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75" w:history="1">
            <w:r w:rsidRPr="002D23E1">
              <w:rPr>
                <w:rStyle w:val="Hiperveza"/>
                <w:noProof/>
              </w:rPr>
              <w:t>Očekivani rezultati i indikatori LRS LAG-a SAVA</w:t>
            </w:r>
            <w:r w:rsidRPr="002D23E1">
              <w:rPr>
                <w:rStyle w:val="Hiperveza"/>
                <w:noProof/>
                <w:spacing w:val="-9"/>
              </w:rPr>
              <w:t xml:space="preserve"> </w:t>
            </w:r>
            <w:r w:rsidRPr="002D23E1">
              <w:rPr>
                <w:rStyle w:val="Hiperveza"/>
                <w:noProof/>
              </w:rPr>
              <w:t>2014-2020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536F78" w14:textId="3E0BB7E2" w:rsidR="007C0B46" w:rsidRDefault="007C0B46">
          <w:pPr>
            <w:pStyle w:val="Sadraj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76" w:history="1">
            <w:r w:rsidRPr="002D23E1">
              <w:rPr>
                <w:rStyle w:val="Hiperveza"/>
                <w:noProof/>
              </w:rPr>
              <w:t>Tablica 5: Odnos ukupno odobrenih projekata od strane LAG-a i APPRRR-a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85133" w14:textId="523F0699" w:rsidR="007C0B46" w:rsidRDefault="007C0B46">
          <w:pPr>
            <w:pStyle w:val="Sadraj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77" w:history="1">
            <w:r w:rsidRPr="002D23E1">
              <w:rPr>
                <w:rStyle w:val="Hiperveza"/>
                <w:noProof/>
              </w:rPr>
              <w:t>Tablica 6: Praćenje provedbe LRS putem pokazatelja isporuka (output indicators) za praćenje postizanja pokazatelja rezultata. LEADER pokazatelji u okviru ZPP indikatora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7FB5B7" w14:textId="5E8C9F81" w:rsidR="007C0B46" w:rsidRDefault="007C0B46">
          <w:pPr>
            <w:pStyle w:val="Sadra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78" w:history="1">
            <w:r w:rsidRPr="002D23E1">
              <w:rPr>
                <w:rStyle w:val="Hiperveza"/>
                <w:noProof/>
              </w:rPr>
              <w:t>Podmjera 19.2. “Provedba operacija unutar CLLD strategije”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6B236B" w14:textId="6DD9BCA5" w:rsidR="007C0B46" w:rsidRDefault="007C0B46">
          <w:pPr>
            <w:pStyle w:val="Sadraj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79" w:history="1">
            <w:r w:rsidRPr="002D23E1">
              <w:rPr>
                <w:rStyle w:val="Hiperveza"/>
                <w:noProof/>
              </w:rPr>
              <w:t>Tablica 7: Odnos dodijeljenih i isplaćenih sredstava na dan 30.10.2024.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A95F7" w14:textId="509FFF2D" w:rsidR="007C0B46" w:rsidRDefault="007C0B46">
          <w:pPr>
            <w:pStyle w:val="Sadra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80" w:history="1">
            <w:r w:rsidRPr="002D23E1">
              <w:rPr>
                <w:rStyle w:val="Hiperveza"/>
                <w:noProof/>
              </w:rPr>
              <w:t>Odbijeni i odustali projekti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7F341" w14:textId="09ACBAB4" w:rsidR="007C0B46" w:rsidRDefault="007C0B46">
          <w:pPr>
            <w:pStyle w:val="Sadraj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81" w:history="1">
            <w:r w:rsidRPr="002D23E1">
              <w:rPr>
                <w:rStyle w:val="Hiperveza"/>
                <w:noProof/>
              </w:rPr>
              <w:t>Tablica 8: Tip ulaganja-broj projekata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5BEC3D" w14:textId="4331983D" w:rsidR="007C0B46" w:rsidRDefault="007C0B46">
          <w:pPr>
            <w:pStyle w:val="Sadraj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82" w:history="1">
            <w:r w:rsidRPr="002D23E1">
              <w:rPr>
                <w:rStyle w:val="Hiperveza"/>
                <w:noProof/>
              </w:rPr>
              <w:t>Tablica 9: Sektor ulaganja- broj projekata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2C205" w14:textId="7D004E81" w:rsidR="007C0B46" w:rsidRDefault="007C0B46">
          <w:pPr>
            <w:pStyle w:val="Sadraj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83" w:history="1">
            <w:r w:rsidRPr="002D23E1">
              <w:rPr>
                <w:rStyle w:val="Hiperveza"/>
                <w:noProof/>
              </w:rPr>
              <w:t>Projekti namijenjeni djeci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59F5FB" w14:textId="535F1B93" w:rsidR="007C0B46" w:rsidRDefault="007C0B46">
          <w:pPr>
            <w:pStyle w:val="Sadraj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84" w:history="1">
            <w:r w:rsidRPr="002D23E1">
              <w:rPr>
                <w:rStyle w:val="Hiperveza"/>
                <w:noProof/>
              </w:rPr>
              <w:t>Tablica 10: Struktura prijavitelja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E98EA" w14:textId="76BD20F1" w:rsidR="007C0B46" w:rsidRDefault="007C0B46">
          <w:pPr>
            <w:pStyle w:val="Sadraj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85" w:history="1">
            <w:r w:rsidRPr="002D23E1">
              <w:rPr>
                <w:rStyle w:val="Hiperveza"/>
                <w:noProof/>
              </w:rPr>
              <w:t>Tablica 11: Ekološki certifikat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D3714" w14:textId="7F5F7587" w:rsidR="007C0B46" w:rsidRDefault="007C0B46">
          <w:pPr>
            <w:pStyle w:val="Sadraj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86" w:history="1">
            <w:r w:rsidRPr="002D23E1">
              <w:rPr>
                <w:rStyle w:val="Hiperveza"/>
                <w:noProof/>
              </w:rPr>
              <w:t>Tablica 12: Kompetencije -broj projekata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6CDAA" w14:textId="28E5C9BD" w:rsidR="007C0B46" w:rsidRDefault="007C0B46">
          <w:pPr>
            <w:pStyle w:val="Sadra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87" w:history="1">
            <w:r w:rsidRPr="002D23E1">
              <w:rPr>
                <w:rStyle w:val="Hiperveza"/>
                <w:noProof/>
              </w:rPr>
              <w:t>Podmjera 19.3. »Priprema i provedba aktivnosti suradnje LAG-a«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CAC9A" w14:textId="4D4A7A3C" w:rsidR="007C0B46" w:rsidRDefault="007C0B46">
          <w:pPr>
            <w:pStyle w:val="Sadra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88" w:history="1">
            <w:r w:rsidRPr="002D23E1">
              <w:rPr>
                <w:rStyle w:val="Hiperveza"/>
                <w:noProof/>
              </w:rPr>
              <w:t>Podmjera 19.4. »Tekući troškovi i animacija«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6727A" w14:textId="609B8E9E" w:rsidR="007C0B46" w:rsidRDefault="007C0B46">
          <w:pPr>
            <w:pStyle w:val="Sadra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12823189" w:history="1">
            <w:r w:rsidRPr="002D23E1">
              <w:rPr>
                <w:rStyle w:val="Hiperveza"/>
                <w:noProof/>
              </w:rPr>
              <w:t>ZAKLJUČAK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C7E227" w14:textId="7A1286B0" w:rsidR="00E80F22" w:rsidRPr="00651450" w:rsidRDefault="00E80F22" w:rsidP="00E80F22">
          <w:pPr>
            <w:pStyle w:val="Sadraj1"/>
            <w:tabs>
              <w:tab w:val="left" w:pos="660"/>
              <w:tab w:val="right" w:leader="dot" w:pos="9066"/>
            </w:tabs>
            <w:rPr>
              <w:rFonts w:asciiTheme="majorHAnsi" w:hAnsiTheme="majorHAnsi" w:cstheme="majorHAnsi"/>
              <w:sz w:val="22"/>
              <w:szCs w:val="22"/>
            </w:rPr>
          </w:pPr>
          <w:r w:rsidRPr="00651450">
            <w:rPr>
              <w:rFonts w:asciiTheme="majorHAnsi" w:hAnsiTheme="majorHAnsi" w:cstheme="majorHAnsi"/>
              <w:caps w:val="0"/>
              <w:sz w:val="22"/>
              <w:szCs w:val="22"/>
            </w:rPr>
            <w:fldChar w:fldCharType="end"/>
          </w:r>
        </w:p>
      </w:sdtContent>
    </w:sdt>
    <w:p w14:paraId="494DE60F" w14:textId="77777777" w:rsidR="00562E24" w:rsidRPr="00651450" w:rsidRDefault="00562E24">
      <w:pPr>
        <w:rPr>
          <w:rFonts w:asciiTheme="majorHAnsi" w:hAnsiTheme="majorHAnsi" w:cstheme="majorHAnsi"/>
        </w:rPr>
      </w:pPr>
    </w:p>
    <w:p w14:paraId="57B799C3" w14:textId="77777777" w:rsidR="00562E24" w:rsidRPr="00651450" w:rsidRDefault="00562E24">
      <w:pPr>
        <w:rPr>
          <w:rFonts w:asciiTheme="majorHAnsi" w:hAnsiTheme="majorHAnsi" w:cstheme="majorHAnsi"/>
        </w:rPr>
      </w:pPr>
    </w:p>
    <w:p w14:paraId="4B0C4650" w14:textId="77777777" w:rsidR="00562E24" w:rsidRPr="00651450" w:rsidRDefault="00562E24">
      <w:pPr>
        <w:rPr>
          <w:rFonts w:asciiTheme="majorHAnsi" w:hAnsiTheme="majorHAnsi" w:cstheme="majorHAnsi"/>
        </w:rPr>
      </w:pPr>
    </w:p>
    <w:p w14:paraId="5983A101" w14:textId="77777777" w:rsidR="00562E24" w:rsidRPr="00651450" w:rsidRDefault="00562E24">
      <w:pPr>
        <w:rPr>
          <w:rFonts w:asciiTheme="majorHAnsi" w:hAnsiTheme="majorHAnsi" w:cstheme="majorHAnsi"/>
        </w:rPr>
      </w:pPr>
    </w:p>
    <w:p w14:paraId="7118502A" w14:textId="77777777" w:rsidR="00562E24" w:rsidRPr="00651450" w:rsidRDefault="00562E24">
      <w:pPr>
        <w:rPr>
          <w:rFonts w:asciiTheme="majorHAnsi" w:hAnsiTheme="majorHAnsi" w:cstheme="majorHAnsi"/>
        </w:rPr>
      </w:pPr>
    </w:p>
    <w:p w14:paraId="3C3E9D10" w14:textId="77777777" w:rsidR="00562E24" w:rsidRPr="00651450" w:rsidRDefault="00562E24">
      <w:pPr>
        <w:rPr>
          <w:rFonts w:asciiTheme="majorHAnsi" w:hAnsiTheme="majorHAnsi" w:cstheme="majorHAnsi"/>
        </w:rPr>
      </w:pPr>
    </w:p>
    <w:p w14:paraId="5F1309B5" w14:textId="77777777" w:rsidR="00562E24" w:rsidRPr="00651450" w:rsidRDefault="00562E24">
      <w:pPr>
        <w:rPr>
          <w:rFonts w:asciiTheme="majorHAnsi" w:hAnsiTheme="majorHAnsi" w:cstheme="majorHAnsi"/>
        </w:rPr>
      </w:pPr>
    </w:p>
    <w:p w14:paraId="24CD7B17" w14:textId="77777777" w:rsidR="00562E24" w:rsidRPr="00651450" w:rsidRDefault="00562E24">
      <w:pPr>
        <w:rPr>
          <w:rFonts w:asciiTheme="majorHAnsi" w:hAnsiTheme="majorHAnsi" w:cstheme="majorHAnsi"/>
        </w:rPr>
      </w:pPr>
    </w:p>
    <w:p w14:paraId="64DB4947" w14:textId="77777777" w:rsidR="00FB463B" w:rsidRPr="00AA4C8E" w:rsidRDefault="00D51E44" w:rsidP="00D51E44">
      <w:pPr>
        <w:pStyle w:val="Naslov1"/>
        <w:rPr>
          <w:rStyle w:val="Jakoisticanje"/>
        </w:rPr>
      </w:pPr>
      <w:bookmarkStart w:id="1" w:name="_Toc212823160"/>
      <w:bookmarkStart w:id="2" w:name="_Toc163556534"/>
      <w:r w:rsidRPr="00AA4C8E">
        <w:rPr>
          <w:rStyle w:val="Jakoisticanje"/>
        </w:rPr>
        <w:lastRenderedPageBreak/>
        <w:t>Popis kratica</w:t>
      </w:r>
      <w:bookmarkEnd w:id="1"/>
    </w:p>
    <w:p w14:paraId="7D1B9DB3" w14:textId="77777777" w:rsidR="00FB463B" w:rsidRPr="00651450" w:rsidRDefault="00FB463B" w:rsidP="00D51E44">
      <w:pPr>
        <w:pStyle w:val="Naslov1"/>
        <w:rPr>
          <w:rFonts w:cstheme="majorHAnsi"/>
          <w:sz w:val="22"/>
          <w:szCs w:val="22"/>
        </w:rPr>
      </w:pPr>
    </w:p>
    <w:tbl>
      <w:tblPr>
        <w:tblStyle w:val="Reetkatablice"/>
        <w:tblpPr w:leftFromText="180" w:rightFromText="180" w:vertAnchor="page" w:horzAnchor="margin" w:tblpY="30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5D0DEC" w:rsidRPr="00651450" w14:paraId="7A967553" w14:textId="77777777" w:rsidTr="005D0DEC">
        <w:tc>
          <w:tcPr>
            <w:tcW w:w="1555" w:type="dxa"/>
          </w:tcPr>
          <w:p w14:paraId="2672C86F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proofErr w:type="spellStart"/>
            <w:r w:rsidRPr="00651450">
              <w:rPr>
                <w:rFonts w:asciiTheme="majorHAnsi" w:hAnsiTheme="majorHAnsi" w:cstheme="majorHAnsi"/>
              </w:rPr>
              <w:t>CLLD</w:t>
            </w:r>
            <w:proofErr w:type="spellEnd"/>
          </w:p>
        </w:tc>
        <w:tc>
          <w:tcPr>
            <w:tcW w:w="7507" w:type="dxa"/>
          </w:tcPr>
          <w:p w14:paraId="1C80219E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 xml:space="preserve">Lokalni razvoj pod vodstvom zajednice (eng. </w:t>
            </w:r>
            <w:proofErr w:type="spellStart"/>
            <w:r w:rsidRPr="00651450">
              <w:rPr>
                <w:rFonts w:asciiTheme="majorHAnsi" w:hAnsiTheme="majorHAnsi" w:cstheme="majorHAnsi"/>
              </w:rPr>
              <w:t>Community</w:t>
            </w:r>
            <w:proofErr w:type="spellEnd"/>
            <w:r w:rsidRPr="00651450">
              <w:rPr>
                <w:rFonts w:asciiTheme="majorHAnsi" w:hAnsiTheme="majorHAnsi" w:cstheme="majorHAnsi"/>
              </w:rPr>
              <w:t xml:space="preserve">-Led </w:t>
            </w:r>
            <w:proofErr w:type="spellStart"/>
            <w:r w:rsidRPr="00651450">
              <w:rPr>
                <w:rFonts w:asciiTheme="majorHAnsi" w:hAnsiTheme="majorHAnsi" w:cstheme="majorHAnsi"/>
              </w:rPr>
              <w:t>Local</w:t>
            </w:r>
            <w:proofErr w:type="spellEnd"/>
            <w:r w:rsidRPr="00651450">
              <w:rPr>
                <w:rFonts w:asciiTheme="majorHAnsi" w:hAnsiTheme="majorHAnsi" w:cstheme="majorHAnsi"/>
              </w:rPr>
              <w:t xml:space="preserve"> Development)</w:t>
            </w:r>
          </w:p>
        </w:tc>
      </w:tr>
      <w:tr w:rsidR="005D0DEC" w:rsidRPr="00651450" w14:paraId="1C650064" w14:textId="77777777" w:rsidTr="005D0DEC">
        <w:tc>
          <w:tcPr>
            <w:tcW w:w="1555" w:type="dxa"/>
          </w:tcPr>
          <w:p w14:paraId="791FE391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proofErr w:type="spellStart"/>
            <w:r w:rsidRPr="00651450">
              <w:rPr>
                <w:rFonts w:asciiTheme="majorHAnsi" w:hAnsiTheme="majorHAnsi" w:cstheme="majorHAnsi"/>
              </w:rPr>
              <w:t>CMEF</w:t>
            </w:r>
            <w:proofErr w:type="spellEnd"/>
          </w:p>
        </w:tc>
        <w:tc>
          <w:tcPr>
            <w:tcW w:w="7507" w:type="dxa"/>
          </w:tcPr>
          <w:p w14:paraId="576A199A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 xml:space="preserve">Zajednički okvir za praćenje i evaluaciju (eng. </w:t>
            </w:r>
            <w:proofErr w:type="spellStart"/>
            <w:r w:rsidRPr="00651450">
              <w:rPr>
                <w:rFonts w:asciiTheme="majorHAnsi" w:hAnsiTheme="majorHAnsi" w:cstheme="majorHAnsi"/>
              </w:rPr>
              <w:t>Common</w:t>
            </w:r>
            <w:proofErr w:type="spellEnd"/>
            <w:r w:rsidRPr="00651450">
              <w:rPr>
                <w:rFonts w:asciiTheme="majorHAnsi" w:hAnsiTheme="majorHAnsi" w:cstheme="majorHAnsi"/>
              </w:rPr>
              <w:t xml:space="preserve"> Monitoring and </w:t>
            </w:r>
            <w:proofErr w:type="spellStart"/>
            <w:r w:rsidRPr="00651450">
              <w:rPr>
                <w:rFonts w:asciiTheme="majorHAnsi" w:hAnsiTheme="majorHAnsi" w:cstheme="majorHAnsi"/>
              </w:rPr>
              <w:t>Evaluation</w:t>
            </w:r>
            <w:proofErr w:type="spellEnd"/>
            <w:r w:rsidRPr="00651450">
              <w:rPr>
                <w:rFonts w:asciiTheme="majorHAnsi" w:hAnsiTheme="majorHAnsi" w:cstheme="majorHAnsi"/>
              </w:rPr>
              <w:t xml:space="preserve"> Framework)</w:t>
            </w:r>
          </w:p>
        </w:tc>
      </w:tr>
      <w:tr w:rsidR="005D0DEC" w:rsidRPr="00651450" w14:paraId="1C744B0A" w14:textId="77777777" w:rsidTr="005D0DEC">
        <w:tc>
          <w:tcPr>
            <w:tcW w:w="1555" w:type="dxa"/>
          </w:tcPr>
          <w:p w14:paraId="69CCAED4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UZO</w:t>
            </w:r>
          </w:p>
        </w:tc>
        <w:tc>
          <w:tcPr>
            <w:tcW w:w="7507" w:type="dxa"/>
          </w:tcPr>
          <w:p w14:paraId="6C5BE530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Uredba o zajedničkim odredbama</w:t>
            </w:r>
          </w:p>
        </w:tc>
      </w:tr>
      <w:tr w:rsidR="005D0DEC" w:rsidRPr="00651450" w14:paraId="3FC898EF" w14:textId="77777777" w:rsidTr="005D0DEC">
        <w:tc>
          <w:tcPr>
            <w:tcW w:w="1555" w:type="dxa"/>
          </w:tcPr>
          <w:p w14:paraId="346F87FD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EK</w:t>
            </w:r>
          </w:p>
        </w:tc>
        <w:tc>
          <w:tcPr>
            <w:tcW w:w="7507" w:type="dxa"/>
          </w:tcPr>
          <w:p w14:paraId="35C0C815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Europska komisija</w:t>
            </w:r>
          </w:p>
        </w:tc>
      </w:tr>
      <w:tr w:rsidR="005D0DEC" w:rsidRPr="00651450" w14:paraId="0001799D" w14:textId="77777777" w:rsidTr="005D0DEC">
        <w:tc>
          <w:tcPr>
            <w:tcW w:w="1555" w:type="dxa"/>
          </w:tcPr>
          <w:p w14:paraId="0D9FD15C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proofErr w:type="spellStart"/>
            <w:r w:rsidRPr="00651450">
              <w:rPr>
                <w:rFonts w:asciiTheme="majorHAnsi" w:hAnsiTheme="majorHAnsi" w:cstheme="majorHAnsi"/>
              </w:rPr>
              <w:t>EMRR</w:t>
            </w:r>
            <w:proofErr w:type="spellEnd"/>
          </w:p>
        </w:tc>
        <w:tc>
          <w:tcPr>
            <w:tcW w:w="7507" w:type="dxa"/>
          </w:tcPr>
          <w:p w14:paraId="472F634E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 xml:space="preserve">Europska mreža za ruralni razvoj (eng. </w:t>
            </w:r>
            <w:proofErr w:type="spellStart"/>
            <w:r w:rsidRPr="00651450">
              <w:rPr>
                <w:rFonts w:asciiTheme="majorHAnsi" w:hAnsiTheme="majorHAnsi" w:cstheme="majorHAnsi"/>
              </w:rPr>
              <w:t>ENRD</w:t>
            </w:r>
            <w:proofErr w:type="spellEnd"/>
            <w:r w:rsidRPr="00651450">
              <w:rPr>
                <w:rFonts w:asciiTheme="majorHAnsi" w:hAnsiTheme="majorHAnsi" w:cstheme="majorHAnsi"/>
              </w:rPr>
              <w:t>)</w:t>
            </w:r>
          </w:p>
        </w:tc>
      </w:tr>
      <w:tr w:rsidR="005D0DEC" w:rsidRPr="00651450" w14:paraId="4A1B52DC" w14:textId="77777777" w:rsidTr="005D0DEC">
        <w:tc>
          <w:tcPr>
            <w:tcW w:w="1555" w:type="dxa"/>
          </w:tcPr>
          <w:p w14:paraId="53A31A15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proofErr w:type="spellStart"/>
            <w:r w:rsidRPr="00651450">
              <w:rPr>
                <w:rFonts w:asciiTheme="majorHAnsi" w:hAnsiTheme="majorHAnsi" w:cstheme="majorHAnsi"/>
              </w:rPr>
              <w:t>EPFRR</w:t>
            </w:r>
            <w:proofErr w:type="spellEnd"/>
          </w:p>
        </w:tc>
        <w:tc>
          <w:tcPr>
            <w:tcW w:w="7507" w:type="dxa"/>
          </w:tcPr>
          <w:p w14:paraId="332C6B40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Europski poljoprivredni fond za ruralni razvoj</w:t>
            </w:r>
          </w:p>
        </w:tc>
      </w:tr>
      <w:tr w:rsidR="005D0DEC" w:rsidRPr="00651450" w14:paraId="30445B8E" w14:textId="77777777" w:rsidTr="005D0DEC">
        <w:tc>
          <w:tcPr>
            <w:tcW w:w="1555" w:type="dxa"/>
          </w:tcPr>
          <w:p w14:paraId="1546AF3F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proofErr w:type="spellStart"/>
            <w:r w:rsidRPr="00651450">
              <w:rPr>
                <w:rFonts w:asciiTheme="majorHAnsi" w:hAnsiTheme="majorHAnsi" w:cstheme="majorHAnsi"/>
              </w:rPr>
              <w:t>EFPR</w:t>
            </w:r>
            <w:proofErr w:type="spellEnd"/>
          </w:p>
        </w:tc>
        <w:tc>
          <w:tcPr>
            <w:tcW w:w="7507" w:type="dxa"/>
          </w:tcPr>
          <w:p w14:paraId="53BDB7E3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Europski fond za pomorstvo i ribarstvo</w:t>
            </w:r>
          </w:p>
        </w:tc>
      </w:tr>
      <w:tr w:rsidR="005D0DEC" w:rsidRPr="00651450" w14:paraId="53835035" w14:textId="77777777" w:rsidTr="005D0DEC">
        <w:tc>
          <w:tcPr>
            <w:tcW w:w="1555" w:type="dxa"/>
          </w:tcPr>
          <w:p w14:paraId="49791321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proofErr w:type="spellStart"/>
            <w:r w:rsidRPr="00651450">
              <w:rPr>
                <w:rFonts w:asciiTheme="majorHAnsi" w:hAnsiTheme="majorHAnsi" w:cstheme="majorHAnsi"/>
              </w:rPr>
              <w:t>ESF</w:t>
            </w:r>
            <w:proofErr w:type="spellEnd"/>
          </w:p>
        </w:tc>
        <w:tc>
          <w:tcPr>
            <w:tcW w:w="7507" w:type="dxa"/>
          </w:tcPr>
          <w:p w14:paraId="44DFA9D6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Europski socijalni fond</w:t>
            </w:r>
          </w:p>
        </w:tc>
      </w:tr>
      <w:tr w:rsidR="005D0DEC" w:rsidRPr="00651450" w14:paraId="6503A57F" w14:textId="77777777" w:rsidTr="005D0DEC">
        <w:tc>
          <w:tcPr>
            <w:tcW w:w="1555" w:type="dxa"/>
          </w:tcPr>
          <w:p w14:paraId="6FA8D672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proofErr w:type="spellStart"/>
            <w:r w:rsidRPr="00651450">
              <w:rPr>
                <w:rFonts w:asciiTheme="majorHAnsi" w:hAnsiTheme="majorHAnsi" w:cstheme="majorHAnsi"/>
              </w:rPr>
              <w:t>ESIF</w:t>
            </w:r>
            <w:proofErr w:type="spellEnd"/>
          </w:p>
        </w:tc>
        <w:tc>
          <w:tcPr>
            <w:tcW w:w="7507" w:type="dxa"/>
          </w:tcPr>
          <w:p w14:paraId="3B37C169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Europski strukturni i investicijski fondovi (</w:t>
            </w:r>
            <w:proofErr w:type="spellStart"/>
            <w:r w:rsidRPr="00651450">
              <w:rPr>
                <w:rFonts w:asciiTheme="majorHAnsi" w:hAnsiTheme="majorHAnsi" w:cstheme="majorHAnsi"/>
              </w:rPr>
              <w:t>EPFRR</w:t>
            </w:r>
            <w:proofErr w:type="spellEnd"/>
            <w:r w:rsidRPr="00651450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651450">
              <w:rPr>
                <w:rFonts w:asciiTheme="majorHAnsi" w:hAnsiTheme="majorHAnsi" w:cstheme="majorHAnsi"/>
              </w:rPr>
              <w:t>EFPR</w:t>
            </w:r>
            <w:proofErr w:type="spellEnd"/>
            <w:r w:rsidRPr="00651450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651450">
              <w:rPr>
                <w:rFonts w:asciiTheme="majorHAnsi" w:hAnsiTheme="majorHAnsi" w:cstheme="majorHAnsi"/>
              </w:rPr>
              <w:t>EFRR</w:t>
            </w:r>
            <w:proofErr w:type="spellEnd"/>
            <w:r w:rsidRPr="00651450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651450">
              <w:rPr>
                <w:rFonts w:asciiTheme="majorHAnsi" w:hAnsiTheme="majorHAnsi" w:cstheme="majorHAnsi"/>
              </w:rPr>
              <w:t>ESF</w:t>
            </w:r>
            <w:proofErr w:type="spellEnd"/>
            <w:r w:rsidRPr="00651450">
              <w:rPr>
                <w:rFonts w:asciiTheme="majorHAnsi" w:hAnsiTheme="majorHAnsi" w:cstheme="majorHAnsi"/>
              </w:rPr>
              <w:t xml:space="preserve"> i </w:t>
            </w:r>
            <w:proofErr w:type="spellStart"/>
            <w:r w:rsidRPr="00651450">
              <w:rPr>
                <w:rFonts w:asciiTheme="majorHAnsi" w:hAnsiTheme="majorHAnsi" w:cstheme="majorHAnsi"/>
              </w:rPr>
              <w:t>KF</w:t>
            </w:r>
            <w:proofErr w:type="spellEnd"/>
            <w:r w:rsidRPr="00651450">
              <w:rPr>
                <w:rFonts w:asciiTheme="majorHAnsi" w:hAnsiTheme="majorHAnsi" w:cstheme="majorHAnsi"/>
              </w:rPr>
              <w:t>)</w:t>
            </w:r>
          </w:p>
        </w:tc>
      </w:tr>
      <w:tr w:rsidR="005D0DEC" w:rsidRPr="00651450" w14:paraId="37203606" w14:textId="77777777" w:rsidTr="005D0DEC">
        <w:tc>
          <w:tcPr>
            <w:tcW w:w="1555" w:type="dxa"/>
          </w:tcPr>
          <w:p w14:paraId="57F0D67F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EU</w:t>
            </w:r>
          </w:p>
        </w:tc>
        <w:tc>
          <w:tcPr>
            <w:tcW w:w="7507" w:type="dxa"/>
          </w:tcPr>
          <w:p w14:paraId="4D61AC6A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Europska unija</w:t>
            </w:r>
          </w:p>
        </w:tc>
      </w:tr>
      <w:tr w:rsidR="005D0DEC" w:rsidRPr="00651450" w14:paraId="4CF1270D" w14:textId="77777777" w:rsidTr="005D0DEC">
        <w:tc>
          <w:tcPr>
            <w:tcW w:w="1555" w:type="dxa"/>
          </w:tcPr>
          <w:p w14:paraId="69C56403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LAG</w:t>
            </w:r>
          </w:p>
        </w:tc>
        <w:tc>
          <w:tcPr>
            <w:tcW w:w="7507" w:type="dxa"/>
          </w:tcPr>
          <w:p w14:paraId="549AAD24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Lokalna akcijska grupa</w:t>
            </w:r>
          </w:p>
        </w:tc>
      </w:tr>
      <w:tr w:rsidR="005D0DEC" w:rsidRPr="00651450" w14:paraId="067A9427" w14:textId="77777777" w:rsidTr="005D0DEC">
        <w:tc>
          <w:tcPr>
            <w:tcW w:w="1555" w:type="dxa"/>
          </w:tcPr>
          <w:p w14:paraId="5A7409EB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LRS</w:t>
            </w:r>
          </w:p>
        </w:tc>
        <w:tc>
          <w:tcPr>
            <w:tcW w:w="7507" w:type="dxa"/>
          </w:tcPr>
          <w:p w14:paraId="30AD614D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Lokalna razvojna strategija</w:t>
            </w:r>
          </w:p>
        </w:tc>
      </w:tr>
      <w:tr w:rsidR="005D0DEC" w:rsidRPr="00651450" w14:paraId="6243ED65" w14:textId="77777777" w:rsidTr="005D0DEC">
        <w:tc>
          <w:tcPr>
            <w:tcW w:w="1555" w:type="dxa"/>
          </w:tcPr>
          <w:p w14:paraId="27925318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LEADER</w:t>
            </w:r>
          </w:p>
        </w:tc>
        <w:tc>
          <w:tcPr>
            <w:tcW w:w="7507" w:type="dxa"/>
          </w:tcPr>
          <w:p w14:paraId="338A78AA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proofErr w:type="spellStart"/>
            <w:r w:rsidRPr="00651450">
              <w:rPr>
                <w:rFonts w:asciiTheme="majorHAnsi" w:hAnsiTheme="majorHAnsi" w:cstheme="majorHAnsi"/>
              </w:rPr>
              <w:t>Liaisons</w:t>
            </w:r>
            <w:proofErr w:type="spellEnd"/>
            <w:r w:rsidRPr="0065145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51450">
              <w:rPr>
                <w:rFonts w:asciiTheme="majorHAnsi" w:hAnsiTheme="majorHAnsi" w:cstheme="majorHAnsi"/>
              </w:rPr>
              <w:t>entre</w:t>
            </w:r>
            <w:proofErr w:type="spellEnd"/>
            <w:r w:rsidRPr="0065145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51450">
              <w:rPr>
                <w:rFonts w:asciiTheme="majorHAnsi" w:hAnsiTheme="majorHAnsi" w:cstheme="majorHAnsi"/>
              </w:rPr>
              <w:t>Actions</w:t>
            </w:r>
            <w:proofErr w:type="spellEnd"/>
            <w:r w:rsidRPr="00651450">
              <w:rPr>
                <w:rFonts w:asciiTheme="majorHAnsi" w:hAnsiTheme="majorHAnsi" w:cstheme="majorHAnsi"/>
              </w:rPr>
              <w:t xml:space="preserve"> de Dé </w:t>
            </w:r>
            <w:proofErr w:type="spellStart"/>
            <w:r w:rsidRPr="00651450">
              <w:rPr>
                <w:rFonts w:asciiTheme="majorHAnsi" w:hAnsiTheme="majorHAnsi" w:cstheme="majorHAnsi"/>
              </w:rPr>
              <w:t>veloppement</w:t>
            </w:r>
            <w:proofErr w:type="spellEnd"/>
            <w:r w:rsidRPr="00651450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651450">
              <w:rPr>
                <w:rFonts w:asciiTheme="majorHAnsi" w:hAnsiTheme="majorHAnsi" w:cstheme="majorHAnsi"/>
              </w:rPr>
              <w:t>l'Economie</w:t>
            </w:r>
            <w:proofErr w:type="spellEnd"/>
            <w:r w:rsidRPr="0065145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51450">
              <w:rPr>
                <w:rFonts w:asciiTheme="majorHAnsi" w:hAnsiTheme="majorHAnsi" w:cstheme="majorHAnsi"/>
              </w:rPr>
              <w:t>Rurale</w:t>
            </w:r>
            <w:proofErr w:type="spellEnd"/>
          </w:p>
        </w:tc>
      </w:tr>
      <w:tr w:rsidR="005D0DEC" w:rsidRPr="00651450" w14:paraId="7BD2E274" w14:textId="77777777" w:rsidTr="005D0DEC">
        <w:tc>
          <w:tcPr>
            <w:tcW w:w="1555" w:type="dxa"/>
          </w:tcPr>
          <w:p w14:paraId="62F71B26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proofErr w:type="spellStart"/>
            <w:r w:rsidRPr="00651450">
              <w:rPr>
                <w:rFonts w:asciiTheme="majorHAnsi" w:hAnsiTheme="majorHAnsi" w:cstheme="majorHAnsi"/>
              </w:rPr>
              <w:t>UT</w:t>
            </w:r>
            <w:proofErr w:type="spellEnd"/>
          </w:p>
        </w:tc>
        <w:tc>
          <w:tcPr>
            <w:tcW w:w="7507" w:type="dxa"/>
          </w:tcPr>
          <w:p w14:paraId="3CD96A61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Upravljačko tijelo</w:t>
            </w:r>
          </w:p>
        </w:tc>
      </w:tr>
      <w:tr w:rsidR="005D0DEC" w:rsidRPr="00651450" w14:paraId="50533DC4" w14:textId="77777777" w:rsidTr="005D0DEC">
        <w:tc>
          <w:tcPr>
            <w:tcW w:w="1555" w:type="dxa"/>
          </w:tcPr>
          <w:p w14:paraId="64466676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proofErr w:type="spellStart"/>
            <w:r w:rsidRPr="00651450">
              <w:rPr>
                <w:rFonts w:asciiTheme="majorHAnsi" w:hAnsiTheme="majorHAnsi" w:cstheme="majorHAnsi"/>
              </w:rPr>
              <w:t>PRR</w:t>
            </w:r>
            <w:proofErr w:type="spellEnd"/>
          </w:p>
        </w:tc>
        <w:tc>
          <w:tcPr>
            <w:tcW w:w="7507" w:type="dxa"/>
          </w:tcPr>
          <w:p w14:paraId="7BD5B37A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Program ruralnog razvoja</w:t>
            </w:r>
          </w:p>
        </w:tc>
      </w:tr>
      <w:tr w:rsidR="005D0DEC" w:rsidRPr="00651450" w14:paraId="20470CF2" w14:textId="77777777" w:rsidTr="005D0DEC">
        <w:tc>
          <w:tcPr>
            <w:tcW w:w="1555" w:type="dxa"/>
          </w:tcPr>
          <w:p w14:paraId="24755827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proofErr w:type="spellStart"/>
            <w:r w:rsidRPr="00651450">
              <w:rPr>
                <w:rFonts w:asciiTheme="majorHAnsi" w:hAnsiTheme="majorHAnsi" w:cstheme="majorHAnsi"/>
              </w:rPr>
              <w:t>APPRRR</w:t>
            </w:r>
            <w:proofErr w:type="spellEnd"/>
          </w:p>
        </w:tc>
        <w:tc>
          <w:tcPr>
            <w:tcW w:w="7507" w:type="dxa"/>
          </w:tcPr>
          <w:p w14:paraId="44C3A2BD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Agencija za plaćanja u poljoprivredi, ribarstvu i ruralnom razvoju</w:t>
            </w:r>
          </w:p>
        </w:tc>
      </w:tr>
      <w:tr w:rsidR="005D0DEC" w:rsidRPr="00651450" w14:paraId="6BC74D89" w14:textId="77777777" w:rsidTr="005D0DEC">
        <w:tc>
          <w:tcPr>
            <w:tcW w:w="1555" w:type="dxa"/>
          </w:tcPr>
          <w:p w14:paraId="60C8630C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proofErr w:type="spellStart"/>
            <w:r w:rsidRPr="00651450">
              <w:rPr>
                <w:rFonts w:asciiTheme="majorHAnsi" w:hAnsiTheme="majorHAnsi" w:cstheme="majorHAnsi"/>
              </w:rPr>
              <w:t>ZPP</w:t>
            </w:r>
            <w:proofErr w:type="spellEnd"/>
          </w:p>
        </w:tc>
        <w:tc>
          <w:tcPr>
            <w:tcW w:w="7507" w:type="dxa"/>
          </w:tcPr>
          <w:p w14:paraId="028CB9FA" w14:textId="77777777" w:rsidR="005D0DEC" w:rsidRPr="00651450" w:rsidRDefault="005D0DEC" w:rsidP="005D0DE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Zajednička poljoprivredna politika</w:t>
            </w:r>
          </w:p>
        </w:tc>
      </w:tr>
    </w:tbl>
    <w:p w14:paraId="747921D5" w14:textId="77777777" w:rsidR="00853A97" w:rsidRPr="00AA4C8E" w:rsidRDefault="00853A97" w:rsidP="00AA4C8E">
      <w:pPr>
        <w:pStyle w:val="Naslov1"/>
      </w:pPr>
      <w:bookmarkStart w:id="3" w:name="_Toc212823161"/>
      <w:r w:rsidRPr="00AA4C8E">
        <w:t>Sažetak evaluacije</w:t>
      </w:r>
      <w:bookmarkEnd w:id="3"/>
    </w:p>
    <w:p w14:paraId="40A93082" w14:textId="77777777" w:rsidR="00963269" w:rsidRPr="00651450" w:rsidRDefault="00963269" w:rsidP="00963269">
      <w:pPr>
        <w:rPr>
          <w:rFonts w:asciiTheme="majorHAnsi" w:hAnsiTheme="majorHAnsi" w:cstheme="majorHAnsi"/>
        </w:rPr>
      </w:pPr>
    </w:p>
    <w:p w14:paraId="08CAF205" w14:textId="77777777" w:rsidR="00D43C12" w:rsidRPr="00651450" w:rsidRDefault="00853A97" w:rsidP="00963269">
      <w:pPr>
        <w:jc w:val="both"/>
        <w:rPr>
          <w:rFonts w:asciiTheme="majorHAnsi" w:hAnsiTheme="majorHAnsi" w:cstheme="majorHAnsi"/>
        </w:rPr>
      </w:pPr>
      <w:r w:rsidRPr="00651450">
        <w:rPr>
          <w:rFonts w:asciiTheme="majorHAnsi" w:hAnsiTheme="majorHAnsi" w:cstheme="majorHAnsi"/>
        </w:rPr>
        <w:t>Evaluacijsko izvješće obuhvaća interno vrednovanje provedbe Lokalne razvojne strategije Lokalne</w:t>
      </w:r>
      <w:r w:rsidR="00963269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 xml:space="preserve">akcijske grupe SAVA (LRS LAG SAVA ) u razdoblju 2014.-2020. uključujući </w:t>
      </w:r>
      <w:r w:rsidR="007225C5" w:rsidRPr="00651450">
        <w:rPr>
          <w:rFonts w:asciiTheme="majorHAnsi" w:hAnsiTheme="majorHAnsi" w:cstheme="majorHAnsi"/>
        </w:rPr>
        <w:t xml:space="preserve">prijelazno razdoblje </w:t>
      </w:r>
      <w:r w:rsidRPr="00651450">
        <w:rPr>
          <w:rFonts w:asciiTheme="majorHAnsi" w:hAnsiTheme="majorHAnsi" w:cstheme="majorHAnsi"/>
        </w:rPr>
        <w:t>2021. i</w:t>
      </w:r>
      <w:r w:rsidR="00963269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2022. godinu</w:t>
      </w:r>
      <w:r w:rsidR="007225C5" w:rsidRPr="00651450">
        <w:rPr>
          <w:rFonts w:asciiTheme="majorHAnsi" w:hAnsiTheme="majorHAnsi" w:cstheme="majorHAnsi"/>
        </w:rPr>
        <w:t xml:space="preserve">. Evaluacija se izrađuje u prosincu 2024. godine </w:t>
      </w:r>
      <w:r w:rsidR="005A541F" w:rsidRPr="00651450">
        <w:rPr>
          <w:rFonts w:asciiTheme="majorHAnsi" w:hAnsiTheme="majorHAnsi" w:cstheme="majorHAnsi"/>
        </w:rPr>
        <w:t xml:space="preserve">dok je provedba projekata financiranih ih LRS LAG-a SAVA još uvijek u tijeku. </w:t>
      </w:r>
    </w:p>
    <w:p w14:paraId="40BA6D82" w14:textId="77777777" w:rsidR="00AA439D" w:rsidRPr="00651450" w:rsidRDefault="00D43C12" w:rsidP="00D43C12">
      <w:pPr>
        <w:jc w:val="both"/>
        <w:rPr>
          <w:rFonts w:asciiTheme="majorHAnsi" w:hAnsiTheme="majorHAnsi" w:cstheme="majorHAnsi"/>
        </w:rPr>
      </w:pPr>
      <w:r w:rsidRPr="00651450">
        <w:rPr>
          <w:rFonts w:asciiTheme="majorHAnsi" w:hAnsiTheme="majorHAnsi" w:cstheme="majorHAnsi"/>
        </w:rPr>
        <w:t xml:space="preserve">Spoznaje iz ovog postupka vrednovanja biti će uzete u obzir prilikom provođenja nove Lokalne razvojne strategije 2022-2027. te </w:t>
      </w:r>
      <w:r w:rsidR="00AA439D" w:rsidRPr="00651450">
        <w:rPr>
          <w:rFonts w:asciiTheme="majorHAnsi" w:hAnsiTheme="majorHAnsi" w:cstheme="majorHAnsi"/>
        </w:rPr>
        <w:t>izrade izmjena iste.</w:t>
      </w:r>
    </w:p>
    <w:p w14:paraId="6115B482" w14:textId="1938FB41" w:rsidR="007E481C" w:rsidRPr="00651450" w:rsidRDefault="00784896" w:rsidP="00784896">
      <w:pPr>
        <w:jc w:val="both"/>
        <w:rPr>
          <w:rFonts w:asciiTheme="majorHAnsi" w:hAnsiTheme="majorHAnsi" w:cstheme="majorHAnsi"/>
        </w:rPr>
      </w:pPr>
      <w:r w:rsidRPr="00651450">
        <w:rPr>
          <w:rFonts w:asciiTheme="majorHAnsi" w:hAnsiTheme="majorHAnsi" w:cstheme="majorHAnsi"/>
        </w:rPr>
        <w:t xml:space="preserve">Metodologija evaluacije obuhvaća evaluacijske kriterije važnosti, djelotvornosti, učinkovitosti, održivosti, te dodanu vrijednost zajednici. Uz kriterije vežu se pitanja na koja se nastoje pronaći odgovori i formulirati preporuke za upravljanje </w:t>
      </w:r>
      <w:proofErr w:type="spellStart"/>
      <w:r w:rsidRPr="00651450">
        <w:rPr>
          <w:rFonts w:asciiTheme="majorHAnsi" w:hAnsiTheme="majorHAnsi" w:cstheme="majorHAnsi"/>
        </w:rPr>
        <w:t>LAGom</w:t>
      </w:r>
      <w:proofErr w:type="spellEnd"/>
      <w:r w:rsidRPr="00651450">
        <w:rPr>
          <w:rFonts w:asciiTheme="majorHAnsi" w:hAnsiTheme="majorHAnsi" w:cstheme="majorHAnsi"/>
        </w:rPr>
        <w:t xml:space="preserve"> i provedbu sadašnje kao i buduće LRS. Postupak evaluacije</w:t>
      </w:r>
      <w:r w:rsidR="007C114A" w:rsidRPr="00651450">
        <w:rPr>
          <w:rFonts w:asciiTheme="majorHAnsi" w:hAnsiTheme="majorHAnsi" w:cstheme="majorHAnsi"/>
        </w:rPr>
        <w:t xml:space="preserve"> obuhvaća </w:t>
      </w:r>
      <w:r w:rsidRPr="00651450">
        <w:rPr>
          <w:rFonts w:asciiTheme="majorHAnsi" w:hAnsiTheme="majorHAnsi" w:cstheme="majorHAnsi"/>
        </w:rPr>
        <w:t xml:space="preserve"> provedbu </w:t>
      </w:r>
      <w:proofErr w:type="spellStart"/>
      <w:r w:rsidRPr="00651450">
        <w:rPr>
          <w:rFonts w:asciiTheme="majorHAnsi" w:hAnsiTheme="majorHAnsi" w:cstheme="majorHAnsi"/>
        </w:rPr>
        <w:t>google</w:t>
      </w:r>
      <w:proofErr w:type="spellEnd"/>
      <w:r w:rsidRPr="00651450">
        <w:rPr>
          <w:rFonts w:asciiTheme="majorHAnsi" w:hAnsiTheme="majorHAnsi" w:cstheme="majorHAnsi"/>
        </w:rPr>
        <w:t xml:space="preserve"> anketa</w:t>
      </w:r>
      <w:r w:rsidR="007C114A" w:rsidRPr="00651450">
        <w:rPr>
          <w:rFonts w:asciiTheme="majorHAnsi" w:hAnsiTheme="majorHAnsi" w:cstheme="majorHAnsi"/>
        </w:rPr>
        <w:t xml:space="preserve"> s</w:t>
      </w:r>
      <w:r w:rsidRPr="00651450">
        <w:rPr>
          <w:rFonts w:asciiTheme="majorHAnsi" w:hAnsiTheme="majorHAnsi" w:cstheme="majorHAnsi"/>
        </w:rPr>
        <w:t xml:space="preserve"> korisnicima LAG Natječaja </w:t>
      </w:r>
      <w:r w:rsidR="007C114A" w:rsidRPr="00651450">
        <w:rPr>
          <w:rFonts w:asciiTheme="majorHAnsi" w:hAnsiTheme="majorHAnsi" w:cstheme="majorHAnsi"/>
        </w:rPr>
        <w:t xml:space="preserve">te </w:t>
      </w:r>
      <w:r w:rsidRPr="00651450">
        <w:rPr>
          <w:rFonts w:asciiTheme="majorHAnsi" w:hAnsiTheme="majorHAnsi" w:cstheme="majorHAnsi"/>
        </w:rPr>
        <w:t>analizu relevantne dokumentacije vezane uz evaluaciju provedbe mjera u okviru Programa ruralnog razvoja RH i LRS  LAG-a SAVA.</w:t>
      </w:r>
      <w:r w:rsidR="007E481C" w:rsidRPr="00651450">
        <w:rPr>
          <w:rFonts w:asciiTheme="majorHAnsi" w:hAnsiTheme="majorHAnsi" w:cstheme="majorHAnsi"/>
        </w:rPr>
        <w:br w:type="page"/>
      </w:r>
    </w:p>
    <w:p w14:paraId="6D5D5C08" w14:textId="56693C2E" w:rsidR="00BE1D90" w:rsidRPr="00AA4C8E" w:rsidRDefault="00D51E44" w:rsidP="00AA4C8E">
      <w:pPr>
        <w:pStyle w:val="Naslov1"/>
      </w:pPr>
      <w:bookmarkStart w:id="4" w:name="_Toc212823162"/>
      <w:bookmarkEnd w:id="2"/>
      <w:r w:rsidRPr="00AA4C8E">
        <w:lastRenderedPageBreak/>
        <w:t>Osobna iskaznica LAG-a SAVA</w:t>
      </w:r>
      <w:bookmarkEnd w:id="4"/>
    </w:p>
    <w:p w14:paraId="1642CD35" w14:textId="77777777" w:rsidR="00D51E44" w:rsidRPr="00651450" w:rsidRDefault="00D51E44" w:rsidP="00D51E44">
      <w:pPr>
        <w:rPr>
          <w:rFonts w:asciiTheme="majorHAnsi" w:hAnsiTheme="majorHAnsi" w:cstheme="majorHAnsi"/>
        </w:rPr>
      </w:pPr>
    </w:p>
    <w:tbl>
      <w:tblPr>
        <w:tblStyle w:val="Svijetlatablicareetke1-isticanje52"/>
        <w:tblW w:w="9214" w:type="dxa"/>
        <w:tblLook w:val="04A0" w:firstRow="1" w:lastRow="0" w:firstColumn="1" w:lastColumn="0" w:noHBand="0" w:noVBand="1"/>
      </w:tblPr>
      <w:tblGrid>
        <w:gridCol w:w="3544"/>
        <w:gridCol w:w="5670"/>
      </w:tblGrid>
      <w:tr w:rsidR="00BE1D90" w:rsidRPr="00651450" w14:paraId="66A7B81E" w14:textId="77777777" w:rsidTr="00F85F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DEEAF6" w:themeFill="accent5" w:themeFillTint="33"/>
            <w:noWrap/>
            <w:hideMark/>
          </w:tcPr>
          <w:p w14:paraId="333E7199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Naziv LAG-a:</w:t>
            </w:r>
          </w:p>
        </w:tc>
        <w:tc>
          <w:tcPr>
            <w:tcW w:w="5670" w:type="dxa"/>
            <w:shd w:val="clear" w:color="auto" w:fill="DEEAF6" w:themeFill="accent5" w:themeFillTint="33"/>
            <w:noWrap/>
            <w:hideMark/>
          </w:tcPr>
          <w:p w14:paraId="7D98B6BF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Lokalna akcijska grupa „SAVA“</w:t>
            </w:r>
          </w:p>
        </w:tc>
      </w:tr>
      <w:tr w:rsidR="00BE1D90" w:rsidRPr="00651450" w14:paraId="26D0DC88" w14:textId="77777777" w:rsidTr="00F85F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4B4F451E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Adresa sjedišta LAG-a:</w:t>
            </w:r>
          </w:p>
        </w:tc>
        <w:tc>
          <w:tcPr>
            <w:tcW w:w="5670" w:type="dxa"/>
            <w:noWrap/>
            <w:hideMark/>
          </w:tcPr>
          <w:p w14:paraId="3B1B7128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Bana Josipa Jelčića 48, 10290 Zaprešić</w:t>
            </w:r>
          </w:p>
        </w:tc>
      </w:tr>
      <w:tr w:rsidR="00BE1D90" w:rsidRPr="00651450" w14:paraId="4793F687" w14:textId="77777777" w:rsidTr="00F85F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35A90E72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Web stranica:</w:t>
            </w:r>
          </w:p>
        </w:tc>
        <w:tc>
          <w:tcPr>
            <w:tcW w:w="5670" w:type="dxa"/>
            <w:noWrap/>
            <w:hideMark/>
          </w:tcPr>
          <w:p w14:paraId="319BF85E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u w:val="single"/>
                <w:lang w:eastAsia="hr-HR"/>
              </w:rPr>
            </w:pPr>
            <w:hyperlink r:id="rId10" w:history="1">
              <w:r w:rsidRPr="00651450">
                <w:rPr>
                  <w:rFonts w:asciiTheme="majorHAnsi" w:hAnsiTheme="majorHAnsi" w:cstheme="majorHAnsi"/>
                  <w:u w:val="single"/>
                  <w:lang w:eastAsia="hr-HR"/>
                </w:rPr>
                <w:t>http://www.lagsava.hr/</w:t>
              </w:r>
            </w:hyperlink>
          </w:p>
        </w:tc>
      </w:tr>
      <w:tr w:rsidR="00BE1D90" w:rsidRPr="00651450" w14:paraId="53610C4C" w14:textId="77777777" w:rsidTr="00F85F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126584B8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Kontakti:</w:t>
            </w:r>
          </w:p>
        </w:tc>
        <w:tc>
          <w:tcPr>
            <w:tcW w:w="5670" w:type="dxa"/>
            <w:hideMark/>
          </w:tcPr>
          <w:p w14:paraId="5BA13AFE" w14:textId="77777777" w:rsidR="00BE1D90" w:rsidRPr="00651450" w:rsidRDefault="00BE1D90" w:rsidP="00F85F28">
            <w:pPr>
              <w:pStyle w:val="Bezprored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Tel: +385 (0)1 4008 135</w:t>
            </w:r>
            <w:r w:rsidRPr="00651450">
              <w:rPr>
                <w:rFonts w:asciiTheme="majorHAnsi" w:hAnsiTheme="majorHAnsi" w:cstheme="majorHAnsi"/>
                <w:lang w:eastAsia="hr-HR"/>
              </w:rPr>
              <w:br/>
              <w:t>Mob: +385 (0)95 5937 630</w:t>
            </w:r>
            <w:r w:rsidRPr="00651450">
              <w:rPr>
                <w:rFonts w:asciiTheme="majorHAnsi" w:hAnsiTheme="majorHAnsi" w:cstheme="majorHAnsi"/>
                <w:lang w:eastAsia="hr-HR"/>
              </w:rPr>
              <w:br/>
              <w:t>E-mail: info@lagsava.hr; maja.cicko@lagsava.hr</w:t>
            </w:r>
          </w:p>
        </w:tc>
      </w:tr>
      <w:tr w:rsidR="00BE1D90" w:rsidRPr="00651450" w14:paraId="2C537BF7" w14:textId="77777777" w:rsidTr="00F85F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4D219A46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Datum osnivanja/registracije:</w:t>
            </w:r>
          </w:p>
        </w:tc>
        <w:tc>
          <w:tcPr>
            <w:tcW w:w="5670" w:type="dxa"/>
            <w:noWrap/>
            <w:hideMark/>
          </w:tcPr>
          <w:p w14:paraId="1D284107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17.10.2013.</w:t>
            </w:r>
          </w:p>
        </w:tc>
      </w:tr>
      <w:tr w:rsidR="00BE1D90" w:rsidRPr="00651450" w14:paraId="0DB65872" w14:textId="77777777" w:rsidTr="00F85F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19C78514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OIB:</w:t>
            </w:r>
          </w:p>
        </w:tc>
        <w:tc>
          <w:tcPr>
            <w:tcW w:w="5670" w:type="dxa"/>
            <w:noWrap/>
            <w:hideMark/>
          </w:tcPr>
          <w:p w14:paraId="16491BA5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7345374254</w:t>
            </w:r>
          </w:p>
        </w:tc>
      </w:tr>
      <w:tr w:rsidR="00BE1D90" w:rsidRPr="00651450" w14:paraId="1B9E2D87" w14:textId="77777777" w:rsidTr="00F85F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276BB62D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MB:</w:t>
            </w:r>
          </w:p>
        </w:tc>
        <w:tc>
          <w:tcPr>
            <w:tcW w:w="5670" w:type="dxa"/>
            <w:noWrap/>
            <w:hideMark/>
          </w:tcPr>
          <w:p w14:paraId="6A38AEFE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4120833</w:t>
            </w:r>
          </w:p>
        </w:tc>
      </w:tr>
      <w:tr w:rsidR="00BE1D90" w:rsidRPr="00651450" w14:paraId="0B9D9877" w14:textId="77777777" w:rsidTr="00F85F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1E45530F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Registarski broj udruge:</w:t>
            </w:r>
          </w:p>
        </w:tc>
        <w:tc>
          <w:tcPr>
            <w:tcW w:w="5670" w:type="dxa"/>
            <w:noWrap/>
            <w:hideMark/>
          </w:tcPr>
          <w:p w14:paraId="64903712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1002966</w:t>
            </w:r>
          </w:p>
        </w:tc>
      </w:tr>
      <w:tr w:rsidR="00BE1D90" w:rsidRPr="00651450" w14:paraId="32EF16BA" w14:textId="77777777" w:rsidTr="00F85F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37EEC86D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RNO:</w:t>
            </w:r>
          </w:p>
        </w:tc>
        <w:tc>
          <w:tcPr>
            <w:tcW w:w="5670" w:type="dxa"/>
            <w:noWrap/>
            <w:hideMark/>
          </w:tcPr>
          <w:p w14:paraId="5E8BC41B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305991</w:t>
            </w:r>
          </w:p>
        </w:tc>
      </w:tr>
      <w:tr w:rsidR="00BE1D90" w:rsidRPr="00651450" w14:paraId="0C1433F0" w14:textId="77777777" w:rsidTr="00F85F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1947AC06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IBAN:</w:t>
            </w:r>
          </w:p>
        </w:tc>
        <w:tc>
          <w:tcPr>
            <w:tcW w:w="5670" w:type="dxa"/>
            <w:noWrap/>
            <w:hideMark/>
          </w:tcPr>
          <w:p w14:paraId="6D9F1C79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HR5924840081106713900</w:t>
            </w:r>
          </w:p>
        </w:tc>
      </w:tr>
      <w:tr w:rsidR="00BE1D90" w:rsidRPr="00651450" w14:paraId="335E8D53" w14:textId="77777777" w:rsidTr="00F85F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7E1939E7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Broj jedinica lokalne samouprave:</w:t>
            </w:r>
          </w:p>
        </w:tc>
        <w:tc>
          <w:tcPr>
            <w:tcW w:w="5670" w:type="dxa"/>
            <w:noWrap/>
            <w:hideMark/>
          </w:tcPr>
          <w:p w14:paraId="28CF4A35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11</w:t>
            </w:r>
          </w:p>
        </w:tc>
      </w:tr>
      <w:tr w:rsidR="00BE1D90" w:rsidRPr="00651450" w14:paraId="22A48719" w14:textId="77777777" w:rsidTr="00F85F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hideMark/>
          </w:tcPr>
          <w:p w14:paraId="4D607A39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Uključene jedinice lokalne</w:t>
            </w:r>
            <w:r w:rsidRPr="00651450">
              <w:rPr>
                <w:rFonts w:asciiTheme="majorHAnsi" w:hAnsiTheme="majorHAnsi" w:cstheme="majorHAnsi"/>
                <w:lang w:eastAsia="hr-HR"/>
              </w:rPr>
              <w:br/>
              <w:t xml:space="preserve"> samouprave:</w:t>
            </w:r>
          </w:p>
        </w:tc>
        <w:tc>
          <w:tcPr>
            <w:tcW w:w="5670" w:type="dxa"/>
            <w:hideMark/>
          </w:tcPr>
          <w:p w14:paraId="093DCB14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Brdovec, Dubravica, Jastrebasko, Klinča Sela, Luka, Marija Gorica, Pušća, Samobor, Stupnik, Sveta Nedelja, Zaprešić</w:t>
            </w:r>
          </w:p>
        </w:tc>
      </w:tr>
      <w:tr w:rsidR="00BE1D90" w:rsidRPr="00651450" w14:paraId="4FCF2E19" w14:textId="77777777" w:rsidTr="00F85F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1CDF92D7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NUTS II:</w:t>
            </w:r>
          </w:p>
        </w:tc>
        <w:tc>
          <w:tcPr>
            <w:tcW w:w="5670" w:type="dxa"/>
            <w:noWrap/>
            <w:hideMark/>
          </w:tcPr>
          <w:p w14:paraId="481103E4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Kontinentalna Hrvatska</w:t>
            </w:r>
          </w:p>
        </w:tc>
      </w:tr>
      <w:tr w:rsidR="00BE1D90" w:rsidRPr="00651450" w14:paraId="301C6FD2" w14:textId="77777777" w:rsidTr="00F85F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5A2860FA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Površina LAG-a (ARKOD):</w:t>
            </w:r>
          </w:p>
        </w:tc>
        <w:tc>
          <w:tcPr>
            <w:tcW w:w="5670" w:type="dxa"/>
            <w:noWrap/>
            <w:hideMark/>
          </w:tcPr>
          <w:p w14:paraId="5A1D463D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781,81</w:t>
            </w:r>
          </w:p>
        </w:tc>
      </w:tr>
      <w:tr w:rsidR="00BE1D90" w:rsidRPr="00651450" w14:paraId="274F51F1" w14:textId="77777777" w:rsidTr="00F85F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4DFAA713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Broj stanovnika (2021.)</w:t>
            </w:r>
          </w:p>
        </w:tc>
        <w:tc>
          <w:tcPr>
            <w:tcW w:w="5670" w:type="dxa"/>
            <w:noWrap/>
            <w:hideMark/>
          </w:tcPr>
          <w:p w14:paraId="23E8714D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121.133</w:t>
            </w:r>
          </w:p>
        </w:tc>
      </w:tr>
      <w:tr w:rsidR="00BE1D90" w:rsidRPr="00651450" w14:paraId="177BDC20" w14:textId="77777777" w:rsidTr="00F85F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29076285" w14:textId="77777777" w:rsidR="00BE1D90" w:rsidRPr="00651450" w:rsidRDefault="00BE1D90" w:rsidP="00F85F28">
            <w:pPr>
              <w:pStyle w:val="Bezproreda"/>
              <w:spacing w:line="360" w:lineRule="auto"/>
              <w:jc w:val="both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Glavni izvor financiranja:</w:t>
            </w:r>
          </w:p>
        </w:tc>
        <w:tc>
          <w:tcPr>
            <w:tcW w:w="5670" w:type="dxa"/>
            <w:hideMark/>
          </w:tcPr>
          <w:p w14:paraId="1B5B453C" w14:textId="2B0B6F02" w:rsidR="00BE1D90" w:rsidRPr="00651450" w:rsidRDefault="00BE1D90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eastAsia="hr-HR"/>
              </w:rPr>
            </w:pPr>
            <w:r w:rsidRPr="00651450">
              <w:rPr>
                <w:rFonts w:asciiTheme="majorHAnsi" w:hAnsiTheme="majorHAnsi" w:cstheme="majorHAnsi"/>
                <w:lang w:eastAsia="hr-HR"/>
              </w:rPr>
              <w:t>M19, Program ruralnog razvoja, RH 2014.-2020. EPFRR (90%), RH (10%)</w:t>
            </w:r>
            <w:r w:rsidR="008F4010" w:rsidRPr="00651450">
              <w:rPr>
                <w:rFonts w:asciiTheme="majorHAnsi" w:hAnsiTheme="majorHAnsi" w:cstheme="majorHAnsi"/>
                <w:lang w:eastAsia="hr-HR"/>
              </w:rPr>
              <w:t xml:space="preserve">, </w:t>
            </w:r>
          </w:p>
        </w:tc>
      </w:tr>
    </w:tbl>
    <w:p w14:paraId="310F26F5" w14:textId="68B64FE6" w:rsidR="005C22AC" w:rsidRDefault="005C22AC">
      <w:pPr>
        <w:rPr>
          <w:rFonts w:asciiTheme="majorHAnsi" w:hAnsiTheme="majorHAnsi" w:cstheme="majorHAnsi"/>
          <w:b/>
          <w:bCs/>
        </w:rPr>
      </w:pPr>
    </w:p>
    <w:p w14:paraId="3524212B" w14:textId="77777777" w:rsidR="005C22AC" w:rsidRDefault="005C22A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045BE2DC" w14:textId="77777777" w:rsidR="00031343" w:rsidRPr="00AA4C8E" w:rsidRDefault="00031343" w:rsidP="00AA4C8E">
      <w:pPr>
        <w:pStyle w:val="Naslov1"/>
      </w:pPr>
      <w:bookmarkStart w:id="5" w:name="_Toc212823163"/>
      <w:r w:rsidRPr="00AA4C8E">
        <w:lastRenderedPageBreak/>
        <w:t>UVOD</w:t>
      </w:r>
      <w:bookmarkEnd w:id="5"/>
    </w:p>
    <w:p w14:paraId="52915798" w14:textId="77777777" w:rsidR="0046690C" w:rsidRPr="00AA4C8E" w:rsidRDefault="003A7CB7" w:rsidP="00AA4C8E">
      <w:pPr>
        <w:pStyle w:val="Naslov2"/>
      </w:pPr>
      <w:bookmarkStart w:id="6" w:name="_Toc212823164"/>
      <w:r w:rsidRPr="00AA4C8E">
        <w:rPr>
          <w:rStyle w:val="Naslov2Char"/>
        </w:rPr>
        <w:t>Program ruralnog razvoja Republike Hrvatske za razdoblje 2014. – 2020. (</w:t>
      </w:r>
      <w:proofErr w:type="spellStart"/>
      <w:r w:rsidRPr="00AA4C8E">
        <w:rPr>
          <w:rStyle w:val="Naslov2Char"/>
        </w:rPr>
        <w:t>PRR</w:t>
      </w:r>
      <w:proofErr w:type="spellEnd"/>
      <w:r w:rsidRPr="00AA4C8E">
        <w:rPr>
          <w:rStyle w:val="Naslov2Char"/>
        </w:rPr>
        <w:t>) i Mjera 19</w:t>
      </w:r>
      <w:bookmarkEnd w:id="6"/>
      <w:r w:rsidR="00B576C2" w:rsidRPr="00AA4C8E">
        <w:t xml:space="preserve"> </w:t>
      </w:r>
    </w:p>
    <w:p w14:paraId="0A2BBCC3" w14:textId="651E32D7" w:rsidR="003A7CB7" w:rsidRPr="00651450" w:rsidRDefault="003A7CB7" w:rsidP="005C22AC">
      <w:pPr>
        <w:jc w:val="both"/>
        <w:rPr>
          <w:rFonts w:asciiTheme="majorHAnsi" w:hAnsiTheme="majorHAnsi" w:cstheme="majorHAnsi"/>
        </w:rPr>
      </w:pPr>
      <w:r w:rsidRPr="00651450">
        <w:rPr>
          <w:rFonts w:asciiTheme="majorHAnsi" w:hAnsiTheme="majorHAnsi" w:cstheme="majorHAnsi"/>
        </w:rPr>
        <w:t>Europska komisija je u svibnju 2015. godine odobrila Program ruralnog razvoja Republike Hrvatske</w:t>
      </w:r>
      <w:r w:rsidR="00B576C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(</w:t>
      </w:r>
      <w:proofErr w:type="spellStart"/>
      <w:r w:rsidRPr="00651450">
        <w:rPr>
          <w:rFonts w:asciiTheme="majorHAnsi" w:hAnsiTheme="majorHAnsi" w:cstheme="majorHAnsi"/>
        </w:rPr>
        <w:t>PRR</w:t>
      </w:r>
      <w:proofErr w:type="spellEnd"/>
      <w:r w:rsidRPr="00651450">
        <w:rPr>
          <w:rFonts w:asciiTheme="majorHAnsi" w:hAnsiTheme="majorHAnsi" w:cstheme="majorHAnsi"/>
        </w:rPr>
        <w:t>) za razdoblje 2014. – 2020. godine, koji je do ožujka 2021. doživio devet izmjena potaknutih</w:t>
      </w:r>
      <w:r w:rsidR="00B576C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 xml:space="preserve">izmjenama regulativa na EU razini. Izmjenama </w:t>
      </w:r>
      <w:proofErr w:type="spellStart"/>
      <w:r w:rsidRPr="00651450">
        <w:rPr>
          <w:rFonts w:asciiTheme="majorHAnsi" w:hAnsiTheme="majorHAnsi" w:cstheme="majorHAnsi"/>
        </w:rPr>
        <w:t>PRR</w:t>
      </w:r>
      <w:proofErr w:type="spellEnd"/>
      <w:r w:rsidRPr="00651450">
        <w:rPr>
          <w:rFonts w:asciiTheme="majorHAnsi" w:hAnsiTheme="majorHAnsi" w:cstheme="majorHAnsi"/>
        </w:rPr>
        <w:t xml:space="preserve"> su se inicijalna sredstva, u prijelaznom razdoblju</w:t>
      </w:r>
      <w:r w:rsidR="00B576C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(2021.- 2022.), povećavala za 901 milijun eura te ukupna alokacija iznosi 3,2 milijarde eura.</w:t>
      </w:r>
    </w:p>
    <w:p w14:paraId="223EB24C" w14:textId="166FBC6C" w:rsidR="00BE1D90" w:rsidRPr="00651450" w:rsidRDefault="003A7CB7" w:rsidP="005C22AC">
      <w:pPr>
        <w:jc w:val="both"/>
        <w:rPr>
          <w:rFonts w:asciiTheme="majorHAnsi" w:hAnsiTheme="majorHAnsi" w:cstheme="majorHAnsi"/>
        </w:rPr>
      </w:pPr>
      <w:r w:rsidRPr="00651450">
        <w:rPr>
          <w:rFonts w:asciiTheme="majorHAnsi" w:hAnsiTheme="majorHAnsi" w:cstheme="majorHAnsi"/>
        </w:rPr>
        <w:t>Programom je definirano 19 mjera koje imaju za cilj povećanje konkurentnosti hrvatske poljoprivrede,</w:t>
      </w:r>
      <w:r w:rsidR="00B576C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šumarstva i prerađivačke industrije, ali i unaprjeđenja životnih i radnih uvjeta u ruralnim područjima</w:t>
      </w:r>
      <w:r w:rsidR="00B576C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 xml:space="preserve">uopće. Prihvatljiva ulaganja unutar mjera </w:t>
      </w:r>
      <w:proofErr w:type="spellStart"/>
      <w:r w:rsidRPr="00651450">
        <w:rPr>
          <w:rFonts w:asciiTheme="majorHAnsi" w:hAnsiTheme="majorHAnsi" w:cstheme="majorHAnsi"/>
        </w:rPr>
        <w:t>PRR</w:t>
      </w:r>
      <w:proofErr w:type="spellEnd"/>
      <w:r w:rsidRPr="00651450">
        <w:rPr>
          <w:rFonts w:asciiTheme="majorHAnsi" w:hAnsiTheme="majorHAnsi" w:cstheme="majorHAnsi"/>
        </w:rPr>
        <w:t>-a sufinancirana su većim dijelom sredstvima Europske</w:t>
      </w:r>
      <w:r w:rsidR="00B576C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 xml:space="preserve">unije putem Europskog poljoprivrednog fonda za ruralni razvoj (engl. </w:t>
      </w:r>
      <w:proofErr w:type="spellStart"/>
      <w:r w:rsidRPr="00651450">
        <w:rPr>
          <w:rFonts w:asciiTheme="majorHAnsi" w:hAnsiTheme="majorHAnsi" w:cstheme="majorHAnsi"/>
        </w:rPr>
        <w:t>EAFRD</w:t>
      </w:r>
      <w:proofErr w:type="spellEnd"/>
      <w:r w:rsidRPr="00651450">
        <w:rPr>
          <w:rFonts w:asciiTheme="majorHAnsi" w:hAnsiTheme="majorHAnsi" w:cstheme="majorHAnsi"/>
        </w:rPr>
        <w:t>) dok je ostatak</w:t>
      </w:r>
      <w:r w:rsidR="00B576C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sufinanciran sredstvima Državnog proračuna Republike Hrvatske.</w:t>
      </w:r>
      <w:r w:rsidRPr="00651450">
        <w:rPr>
          <w:rFonts w:asciiTheme="majorHAnsi" w:hAnsiTheme="majorHAnsi" w:cstheme="majorHAnsi"/>
        </w:rPr>
        <w:cr/>
      </w:r>
    </w:p>
    <w:p w14:paraId="3699F7E5" w14:textId="77777777" w:rsidR="00B8524B" w:rsidRPr="00651450" w:rsidRDefault="00B8524B" w:rsidP="00B8524B">
      <w:pPr>
        <w:rPr>
          <w:rStyle w:val="Jakoisticanje"/>
          <w:rFonts w:asciiTheme="majorHAnsi" w:hAnsiTheme="majorHAnsi" w:cstheme="majorHAnsi"/>
        </w:rPr>
      </w:pPr>
      <w:r w:rsidRPr="00651450">
        <w:rPr>
          <w:rStyle w:val="Jakoisticanje"/>
          <w:rFonts w:asciiTheme="majorHAnsi" w:hAnsiTheme="majorHAnsi" w:cstheme="majorHAnsi"/>
        </w:rPr>
        <w:t>Mjera 19 – LEADER (</w:t>
      </w:r>
      <w:proofErr w:type="spellStart"/>
      <w:r w:rsidRPr="00651450">
        <w:rPr>
          <w:rStyle w:val="Jakoisticanje"/>
          <w:rFonts w:asciiTheme="majorHAnsi" w:hAnsiTheme="majorHAnsi" w:cstheme="majorHAnsi"/>
        </w:rPr>
        <w:t>CLLD</w:t>
      </w:r>
      <w:proofErr w:type="spellEnd"/>
      <w:r w:rsidRPr="00651450">
        <w:rPr>
          <w:rStyle w:val="Jakoisticanje"/>
          <w:rFonts w:asciiTheme="majorHAnsi" w:hAnsiTheme="majorHAnsi" w:cstheme="majorHAnsi"/>
        </w:rPr>
        <w:t xml:space="preserve">) podijeljena je u četiri </w:t>
      </w:r>
      <w:proofErr w:type="spellStart"/>
      <w:r w:rsidRPr="00651450">
        <w:rPr>
          <w:rStyle w:val="Jakoisticanje"/>
          <w:rFonts w:asciiTheme="majorHAnsi" w:hAnsiTheme="majorHAnsi" w:cstheme="majorHAnsi"/>
        </w:rPr>
        <w:t>podmjere</w:t>
      </w:r>
      <w:proofErr w:type="spellEnd"/>
      <w:r w:rsidRPr="00651450">
        <w:rPr>
          <w:rStyle w:val="Jakoisticanje"/>
          <w:rFonts w:asciiTheme="majorHAnsi" w:hAnsiTheme="majorHAnsi" w:cstheme="majorHAnsi"/>
        </w:rPr>
        <w:t>:</w:t>
      </w:r>
    </w:p>
    <w:p w14:paraId="4A43172A" w14:textId="7492799E" w:rsidR="005C22AC" w:rsidRPr="00AA4C8E" w:rsidRDefault="00B8524B" w:rsidP="00AA4C8E">
      <w:pPr>
        <w:pStyle w:val="Naslov3"/>
      </w:pPr>
      <w:bookmarkStart w:id="7" w:name="_Toc212823165"/>
      <w:r w:rsidRPr="00AA4C8E">
        <w:t>19.1. Pripremna pomoć</w:t>
      </w:r>
      <w:bookmarkEnd w:id="7"/>
      <w:r w:rsidRPr="00AA4C8E">
        <w:t xml:space="preserve"> </w:t>
      </w:r>
    </w:p>
    <w:p w14:paraId="298BED38" w14:textId="205528CC" w:rsidR="00B8524B" w:rsidRPr="00651450" w:rsidRDefault="00B8524B" w:rsidP="005C22AC">
      <w:pPr>
        <w:jc w:val="both"/>
        <w:rPr>
          <w:rFonts w:asciiTheme="majorHAnsi" w:hAnsiTheme="majorHAnsi" w:cstheme="majorHAnsi"/>
        </w:rPr>
      </w:pPr>
      <w:r w:rsidRPr="00651450">
        <w:t>Namijenjena je Lokalnim akcijskim grupama (LAG) kao korisnicima.</w:t>
      </w:r>
      <w:r w:rsidR="005C22AC">
        <w:t xml:space="preserve"> </w:t>
      </w:r>
      <w:r w:rsidRPr="00651450">
        <w:rPr>
          <w:rFonts w:asciiTheme="majorHAnsi" w:hAnsiTheme="majorHAnsi" w:cstheme="majorHAnsi"/>
        </w:rPr>
        <w:t xml:space="preserve">Prihvatljivi troškovi jesu: Izgradnja kapaciteta za zaposlenike, volontere i članove LAG-a u svrhu izrade lokalne razvojne strategije (LRS); umrežavanje u svrhu izrade LRS; treninzi za lokalne dionike u svrhu izrade LRS; izrada studija za područje LAG-a (uključujući i studije isplativosti za neke od projekata koji će biti opisani u LRS); izdaci vezano za izradu LRS (uključujući i konzultantske izdatke te izdatke za aktivnosti konzultiranja dionika u svrhu bolje pripreme LRS); administrativni troškovi (rad ureda i troškovi zaposlenika) za LAG koji nije ostvario potporu za tekuće troškove u razdoblju 2007.–2013. i za LAG kojemu je istekao </w:t>
      </w:r>
      <w:proofErr w:type="spellStart"/>
      <w:r w:rsidRPr="00651450">
        <w:rPr>
          <w:rFonts w:asciiTheme="majorHAnsi" w:hAnsiTheme="majorHAnsi" w:cstheme="majorHAnsi"/>
        </w:rPr>
        <w:t>IPARD</w:t>
      </w:r>
      <w:proofErr w:type="spellEnd"/>
      <w:r w:rsidRPr="00651450">
        <w:rPr>
          <w:rFonts w:asciiTheme="majorHAnsi" w:hAnsiTheme="majorHAnsi" w:cstheme="majorHAnsi"/>
        </w:rPr>
        <w:t xml:space="preserve"> ugovor. Potpora je do 100% ukupnih prihvatljivih troškova, najviše 100.000 €.</w:t>
      </w:r>
    </w:p>
    <w:p w14:paraId="27E87650" w14:textId="77777777" w:rsidR="00651450" w:rsidRPr="00651450" w:rsidRDefault="00B8524B" w:rsidP="005C22AC">
      <w:pPr>
        <w:pStyle w:val="Naslov3"/>
      </w:pPr>
      <w:bookmarkStart w:id="8" w:name="_Toc212823166"/>
      <w:r w:rsidRPr="00651450">
        <w:rPr>
          <w:rStyle w:val="Naslov3Char"/>
          <w:rFonts w:cstheme="majorHAnsi"/>
          <w:sz w:val="22"/>
          <w:szCs w:val="22"/>
        </w:rPr>
        <w:t xml:space="preserve">19.2. Provedba operacija unutar </w:t>
      </w:r>
      <w:proofErr w:type="spellStart"/>
      <w:r w:rsidRPr="00651450">
        <w:rPr>
          <w:rStyle w:val="Naslov3Char"/>
          <w:rFonts w:cstheme="majorHAnsi"/>
          <w:sz w:val="22"/>
          <w:szCs w:val="22"/>
        </w:rPr>
        <w:t>CLLD</w:t>
      </w:r>
      <w:proofErr w:type="spellEnd"/>
      <w:r w:rsidRPr="00651450">
        <w:rPr>
          <w:rStyle w:val="Naslov3Char"/>
          <w:rFonts w:cstheme="majorHAnsi"/>
          <w:sz w:val="22"/>
          <w:szCs w:val="22"/>
        </w:rPr>
        <w:t xml:space="preserve"> strategije</w:t>
      </w:r>
      <w:bookmarkEnd w:id="8"/>
      <w:r w:rsidRPr="00651450">
        <w:rPr>
          <w:rStyle w:val="Naslov3Char"/>
          <w:rFonts w:cstheme="majorHAnsi"/>
          <w:sz w:val="22"/>
          <w:szCs w:val="22"/>
        </w:rPr>
        <w:t xml:space="preserve"> </w:t>
      </w:r>
    </w:p>
    <w:p w14:paraId="281E2959" w14:textId="29D9E9BB" w:rsidR="00B8524B" w:rsidRPr="00651450" w:rsidRDefault="00B8524B" w:rsidP="005C22AC">
      <w:pPr>
        <w:jc w:val="both"/>
        <w:rPr>
          <w:rFonts w:asciiTheme="majorHAnsi" w:hAnsiTheme="majorHAnsi" w:cstheme="majorHAnsi"/>
        </w:rPr>
      </w:pPr>
      <w:r w:rsidRPr="00651450">
        <w:rPr>
          <w:rFonts w:asciiTheme="majorHAnsi" w:hAnsiTheme="majorHAnsi" w:cstheme="majorHAnsi"/>
        </w:rPr>
        <w:t xml:space="preserve"> Kod odabira LAG-ova korisnici su LAG-ovi, a kod</w:t>
      </w:r>
      <w:r w:rsidR="004A241B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provedbe LRS odabranih LAG-ova korisnici su nositelji projekta s područja LAG-a koji su podnijeli</w:t>
      </w:r>
      <w:r w:rsidR="004A241B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zahtjev za potporu na LAG natječaju. Prihvatljivi troškovi jesu: projekti koji su u skladu s LRS</w:t>
      </w:r>
      <w:r w:rsidR="004A241B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odabranih LAG-ova i Programom ruralnog razvoja. Najviši i najniži iznos potpore za projekte koji se</w:t>
      </w:r>
      <w:r w:rsidR="004A241B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 xml:space="preserve">provode </w:t>
      </w:r>
      <w:r w:rsidR="004A241B" w:rsidRPr="00651450">
        <w:rPr>
          <w:rFonts w:asciiTheme="majorHAnsi" w:hAnsiTheme="majorHAnsi" w:cstheme="majorHAnsi"/>
        </w:rPr>
        <w:t xml:space="preserve"> </w:t>
      </w:r>
      <w:proofErr w:type="spellStart"/>
      <w:r w:rsidRPr="00651450">
        <w:rPr>
          <w:rFonts w:asciiTheme="majorHAnsi" w:hAnsiTheme="majorHAnsi" w:cstheme="majorHAnsi"/>
        </w:rPr>
        <w:t>utem</w:t>
      </w:r>
      <w:proofErr w:type="spellEnd"/>
      <w:r w:rsidRPr="00651450">
        <w:rPr>
          <w:rFonts w:asciiTheme="majorHAnsi" w:hAnsiTheme="majorHAnsi" w:cstheme="majorHAnsi"/>
        </w:rPr>
        <w:t xml:space="preserve"> LRS odabranih LAG-ova naveden je u LRS i mora biti u granicama koje su navedene u</w:t>
      </w:r>
      <w:r w:rsidR="004A241B" w:rsidRPr="00651450">
        <w:rPr>
          <w:rFonts w:asciiTheme="majorHAnsi" w:hAnsiTheme="majorHAnsi" w:cstheme="majorHAnsi"/>
        </w:rPr>
        <w:t xml:space="preserve"> </w:t>
      </w:r>
      <w:proofErr w:type="spellStart"/>
      <w:r w:rsidRPr="00651450">
        <w:rPr>
          <w:rFonts w:asciiTheme="majorHAnsi" w:hAnsiTheme="majorHAnsi" w:cstheme="majorHAnsi"/>
        </w:rPr>
        <w:t>PRR</w:t>
      </w:r>
      <w:proofErr w:type="spellEnd"/>
      <w:r w:rsidRPr="00651450">
        <w:rPr>
          <w:rFonts w:asciiTheme="majorHAnsi" w:hAnsiTheme="majorHAnsi" w:cstheme="majorHAnsi"/>
        </w:rPr>
        <w:t>-u uz napomenu da najviši iznos projekta i potpore ne može biti viši od 100.000 € u kunskoj</w:t>
      </w:r>
      <w:r w:rsidR="004A241B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 xml:space="preserve">protuvrijednosti. Najviši intenzitet potpore definiran je u </w:t>
      </w:r>
      <w:proofErr w:type="spellStart"/>
      <w:r w:rsidRPr="00651450">
        <w:rPr>
          <w:rFonts w:asciiTheme="majorHAnsi" w:hAnsiTheme="majorHAnsi" w:cstheme="majorHAnsi"/>
        </w:rPr>
        <w:t>PRR</w:t>
      </w:r>
      <w:proofErr w:type="spellEnd"/>
      <w:r w:rsidRPr="00651450">
        <w:rPr>
          <w:rFonts w:asciiTheme="majorHAnsi" w:hAnsiTheme="majorHAnsi" w:cstheme="majorHAnsi"/>
        </w:rPr>
        <w:t xml:space="preserve"> i LRS odabranih LAG-ova.</w:t>
      </w:r>
    </w:p>
    <w:p w14:paraId="03808425" w14:textId="77777777" w:rsidR="005C22AC" w:rsidRDefault="00B8524B" w:rsidP="005C22AC">
      <w:pPr>
        <w:pStyle w:val="Naslov3"/>
      </w:pPr>
      <w:bookmarkStart w:id="9" w:name="_Toc212823167"/>
      <w:r w:rsidRPr="00651450">
        <w:t>19.3. Priprema i provedba aktivnosti suradnje LAG-a</w:t>
      </w:r>
      <w:bookmarkEnd w:id="9"/>
    </w:p>
    <w:p w14:paraId="11D43AE4" w14:textId="23170B42" w:rsidR="00B8524B" w:rsidRPr="00651450" w:rsidRDefault="00B8524B" w:rsidP="005C22AC">
      <w:pPr>
        <w:jc w:val="both"/>
        <w:rPr>
          <w:rFonts w:asciiTheme="majorHAnsi" w:hAnsiTheme="majorHAnsi" w:cstheme="majorHAnsi"/>
        </w:rPr>
      </w:pPr>
      <w:r w:rsidRPr="00651450">
        <w:rPr>
          <w:rFonts w:asciiTheme="majorHAnsi" w:hAnsiTheme="majorHAnsi" w:cstheme="majorHAnsi"/>
        </w:rPr>
        <w:t xml:space="preserve"> Korisnici su odabrani LAG-ovi unutar </w:t>
      </w:r>
      <w:proofErr w:type="spellStart"/>
      <w:r w:rsidRPr="00651450">
        <w:rPr>
          <w:rFonts w:asciiTheme="majorHAnsi" w:hAnsiTheme="majorHAnsi" w:cstheme="majorHAnsi"/>
        </w:rPr>
        <w:t>podmjere</w:t>
      </w:r>
      <w:proofErr w:type="spellEnd"/>
      <w:r w:rsidR="005C22AC">
        <w:rPr>
          <w:rFonts w:asciiTheme="majorHAnsi" w:hAnsiTheme="majorHAnsi" w:cstheme="majorHAnsi"/>
        </w:rPr>
        <w:t xml:space="preserve"> 19. </w:t>
      </w:r>
      <w:r w:rsidRPr="00651450">
        <w:rPr>
          <w:rFonts w:asciiTheme="majorHAnsi" w:hAnsiTheme="majorHAnsi" w:cstheme="majorHAnsi"/>
        </w:rPr>
        <w:t>Prihvatljivi troškovi</w:t>
      </w:r>
      <w:r w:rsidR="005C22AC">
        <w:rPr>
          <w:rFonts w:asciiTheme="majorHAnsi" w:hAnsiTheme="majorHAnsi" w:cstheme="majorHAnsi"/>
        </w:rPr>
        <w:t xml:space="preserve"> </w:t>
      </w:r>
      <w:r w:rsidR="002848B2" w:rsidRPr="00651450">
        <w:rPr>
          <w:rFonts w:asciiTheme="majorHAnsi" w:hAnsiTheme="majorHAnsi" w:cstheme="majorHAnsi"/>
        </w:rPr>
        <w:t>su</w:t>
      </w:r>
      <w:r w:rsidRPr="00651450">
        <w:rPr>
          <w:rFonts w:asciiTheme="majorHAnsi" w:hAnsiTheme="majorHAnsi" w:cstheme="majorHAnsi"/>
        </w:rPr>
        <w:t>: Priprema aktivnosti suradnje LAG-a (troškovi putovanja i smještaja</w:t>
      </w:r>
      <w:r w:rsidR="002848B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 xml:space="preserve">tijekom traženja partnera za suradnju; troškovi prijevoda, </w:t>
      </w:r>
      <w:r w:rsidR="005C22AC">
        <w:rPr>
          <w:rFonts w:asciiTheme="majorHAnsi" w:hAnsiTheme="majorHAnsi" w:cstheme="majorHAnsi"/>
        </w:rPr>
        <w:t xml:space="preserve"> </w:t>
      </w:r>
      <w:proofErr w:type="spellStart"/>
      <w:r w:rsidRPr="00651450">
        <w:rPr>
          <w:rFonts w:asciiTheme="majorHAnsi" w:hAnsiTheme="majorHAnsi" w:cstheme="majorHAnsi"/>
        </w:rPr>
        <w:t>imultanog</w:t>
      </w:r>
      <w:proofErr w:type="spellEnd"/>
      <w:r w:rsidRPr="00651450">
        <w:rPr>
          <w:rFonts w:asciiTheme="majorHAnsi" w:hAnsiTheme="majorHAnsi" w:cstheme="majorHAnsi"/>
        </w:rPr>
        <w:t xml:space="preserve"> prijevoda, organizacije sastanaka,</w:t>
      </w:r>
      <w:r w:rsidR="002848B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itd.; specifična znanja vezana uz djelokrug planiranog projekta suradnje) i provedba aktivnosti suradnje</w:t>
      </w:r>
      <w:r w:rsidR="002848B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LAG-a (troškovi pro</w:t>
      </w:r>
      <w:r w:rsidR="005C22AC">
        <w:rPr>
          <w:rFonts w:asciiTheme="majorHAnsi" w:hAnsiTheme="majorHAnsi" w:cstheme="majorHAnsi"/>
        </w:rPr>
        <w:t xml:space="preserve"> </w:t>
      </w:r>
      <w:proofErr w:type="spellStart"/>
      <w:r w:rsidRPr="00651450">
        <w:rPr>
          <w:rFonts w:asciiTheme="majorHAnsi" w:hAnsiTheme="majorHAnsi" w:cstheme="majorHAnsi"/>
        </w:rPr>
        <w:t>vedbe</w:t>
      </w:r>
      <w:proofErr w:type="spellEnd"/>
      <w:r w:rsidRPr="00651450">
        <w:rPr>
          <w:rFonts w:asciiTheme="majorHAnsi" w:hAnsiTheme="majorHAnsi" w:cstheme="majorHAnsi"/>
        </w:rPr>
        <w:t xml:space="preserve"> </w:t>
      </w:r>
      <w:proofErr w:type="spellStart"/>
      <w:r w:rsidRPr="00651450">
        <w:rPr>
          <w:rFonts w:asciiTheme="majorHAnsi" w:hAnsiTheme="majorHAnsi" w:cstheme="majorHAnsi"/>
        </w:rPr>
        <w:t>međuteritorijalnih</w:t>
      </w:r>
      <w:proofErr w:type="spellEnd"/>
      <w:r w:rsidRPr="00651450">
        <w:rPr>
          <w:rFonts w:asciiTheme="majorHAnsi" w:hAnsiTheme="majorHAnsi" w:cstheme="majorHAnsi"/>
        </w:rPr>
        <w:t xml:space="preserve"> projekata suradnje – unutar granica RH; troškovi </w:t>
      </w:r>
      <w:r w:rsidR="002848B2" w:rsidRPr="00651450">
        <w:rPr>
          <w:rFonts w:asciiTheme="majorHAnsi" w:hAnsiTheme="majorHAnsi" w:cstheme="majorHAnsi"/>
        </w:rPr>
        <w:t xml:space="preserve"> </w:t>
      </w:r>
      <w:proofErr w:type="spellStart"/>
      <w:r w:rsidRPr="00651450">
        <w:rPr>
          <w:rFonts w:asciiTheme="majorHAnsi" w:hAnsiTheme="majorHAnsi" w:cstheme="majorHAnsi"/>
        </w:rPr>
        <w:t>rovedbe</w:t>
      </w:r>
      <w:proofErr w:type="spellEnd"/>
      <w:r w:rsidR="002848B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transnacionalnih projekata suradnje – između država članica ili s trećim državama). Prihvatljivi partneri</w:t>
      </w:r>
      <w:r w:rsidR="002848B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su LAG-ovi (odobreni od strane nadležnog tijela za razdoblje 2014.– 2020.) te lokalna, javna i privatna</w:t>
      </w:r>
      <w:r w:rsidR="002848B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partnerstva na ruralnom ili urbanom području koja provode neku vrstu LRS, unutar ili izvan EU. Potpora</w:t>
      </w:r>
      <w:r w:rsidR="002848B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je do 100% ukupnih prihvatljivih troškova, najviše do 100.000 € po odabranom LAG-u.</w:t>
      </w:r>
    </w:p>
    <w:p w14:paraId="05F3DC69" w14:textId="77777777" w:rsidR="005C22AC" w:rsidRDefault="00B8524B" w:rsidP="005C22AC">
      <w:pPr>
        <w:pStyle w:val="Naslov3"/>
      </w:pPr>
      <w:bookmarkStart w:id="10" w:name="_Toc212823168"/>
      <w:r w:rsidRPr="00651450">
        <w:lastRenderedPageBreak/>
        <w:t>19.4. Tekući troškovi i animacija</w:t>
      </w:r>
      <w:bookmarkEnd w:id="10"/>
    </w:p>
    <w:p w14:paraId="1D1D94C6" w14:textId="12BA08E4" w:rsidR="00B576C2" w:rsidRDefault="00B8524B" w:rsidP="005C22AC">
      <w:pPr>
        <w:jc w:val="both"/>
        <w:rPr>
          <w:rFonts w:asciiTheme="majorHAnsi" w:hAnsiTheme="majorHAnsi" w:cstheme="majorHAnsi"/>
        </w:rPr>
      </w:pPr>
      <w:r w:rsidRPr="00651450">
        <w:rPr>
          <w:rFonts w:asciiTheme="majorHAnsi" w:hAnsiTheme="majorHAnsi" w:cstheme="majorHAnsi"/>
        </w:rPr>
        <w:t xml:space="preserve">– Korisnici su odabrani LAG-ovi unutar </w:t>
      </w:r>
      <w:proofErr w:type="spellStart"/>
      <w:r w:rsidRPr="00651450">
        <w:rPr>
          <w:rFonts w:asciiTheme="majorHAnsi" w:hAnsiTheme="majorHAnsi" w:cstheme="majorHAnsi"/>
        </w:rPr>
        <w:t>podmjere</w:t>
      </w:r>
      <w:proofErr w:type="spellEnd"/>
      <w:r w:rsidRPr="00651450">
        <w:rPr>
          <w:rFonts w:asciiTheme="majorHAnsi" w:hAnsiTheme="majorHAnsi" w:cstheme="majorHAnsi"/>
        </w:rPr>
        <w:t xml:space="preserve"> 19.2. Prihvatljivi</w:t>
      </w:r>
      <w:r w:rsidR="002848B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troškovi jesu: Tekući troškovi - izravni troškovi osoblja LAG-a u skladu s člankom 67. i 68. Uredbe</w:t>
      </w:r>
      <w:r w:rsidR="002848B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(EU) br. 1303/2013 (plaće zaposlenika), neizravni troškovi s fiksnom stopom od 15 % prihvatljivih</w:t>
      </w:r>
      <w:r w:rsidR="002848B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izravnih troškova (režijski izdaci ureda, pristojbe javnog bilježnika, potrošni uredski materijal, itd.),</w:t>
      </w:r>
      <w:r w:rsidR="002848B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troškovi usavršavanja i obrazovanje zaposlenika, članova i volontera LAG-a u vezi rada LAG-a i/ili uz</w:t>
      </w:r>
      <w:r w:rsidR="002848B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provedbu mjera iz LRS i/ili Programa ruralnog razvoja i/ili pripreme za programsko razdoblje 2021.–</w:t>
      </w:r>
      <w:r w:rsidR="002848B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2027. (kotizacija, putni troškovi, hrana i piće itd.), troškovi sudjelovanja zaposlenika, volontera i</w:t>
      </w:r>
      <w:r w:rsidR="002848B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članova LAG-a na radionicama, sastancima, seminarima, treninzima, studijskim putovanjima,</w:t>
      </w:r>
      <w:r w:rsidR="002848B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sajmovima i slično, u vezi rada LAG-a i/ili uz provedbu mjera iz LRS i/ili Programa ruralnog razvoja</w:t>
      </w:r>
      <w:r w:rsidR="002848B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i/ili pripreme za programsko razdoblje 2021.–2027., na ili izvan područja LAG-a (kotizacija, putni</w:t>
      </w:r>
      <w:r w:rsidR="002848B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troškovi, hrana i piće itd.), troškovi ureda (najam, oprema) i usluge u vezi rada LAG-a (prijevod, pravne</w:t>
      </w:r>
      <w:r w:rsidR="002848B2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 xml:space="preserve">usluge, </w:t>
      </w:r>
      <w:r w:rsidR="00301D86" w:rsidRPr="00651450">
        <w:rPr>
          <w:rFonts w:asciiTheme="majorHAnsi" w:hAnsiTheme="majorHAnsi" w:cstheme="majorHAnsi"/>
        </w:rPr>
        <w:t xml:space="preserve"> k</w:t>
      </w:r>
      <w:r w:rsidRPr="00651450">
        <w:rPr>
          <w:rFonts w:asciiTheme="majorHAnsi" w:hAnsiTheme="majorHAnsi" w:cstheme="majorHAnsi"/>
        </w:rPr>
        <w:t>njigovodstvene usluge itd.). Animacija - troškovi organizacije animacijskih događaja (hrana i</w:t>
      </w:r>
      <w:r w:rsidR="00301D86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piće, putni troškovi) i usluge u vezi provedbe animacijskih događaja i aktivnosti (najam prostora,</w:t>
      </w:r>
      <w:r w:rsidR="00301D86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prevođenje, informativno-promidžbeni materijali itd.). Potpora je do 100% ukupnih prihvatljivih</w:t>
      </w:r>
      <w:r w:rsidR="00301D86" w:rsidRPr="00651450">
        <w:rPr>
          <w:rFonts w:asciiTheme="majorHAnsi" w:hAnsiTheme="majorHAnsi" w:cstheme="majorHAnsi"/>
        </w:rPr>
        <w:t xml:space="preserve"> </w:t>
      </w:r>
      <w:r w:rsidRPr="00651450">
        <w:rPr>
          <w:rFonts w:asciiTheme="majorHAnsi" w:hAnsiTheme="majorHAnsi" w:cstheme="majorHAnsi"/>
        </w:rPr>
        <w:t>troškova, ukupno do 25 % dodijeljenih javnih izdataka LRS.</w:t>
      </w:r>
      <w:r w:rsidRPr="00651450">
        <w:rPr>
          <w:rFonts w:asciiTheme="majorHAnsi" w:hAnsiTheme="majorHAnsi" w:cstheme="majorHAnsi"/>
        </w:rPr>
        <w:cr/>
      </w:r>
    </w:p>
    <w:p w14:paraId="0D62BCE3" w14:textId="77777777" w:rsidR="00E5072F" w:rsidRDefault="009E3EA0" w:rsidP="00DC52CE">
      <w:pPr>
        <w:pStyle w:val="Naslov2"/>
      </w:pPr>
      <w:bookmarkStart w:id="11" w:name="_Toc212823169"/>
      <w:r w:rsidRPr="00AA4C8E">
        <w:rPr>
          <w:rStyle w:val="Naslov3Char"/>
          <w:color w:val="2F5496" w:themeColor="accent1" w:themeShade="BF"/>
          <w:sz w:val="26"/>
          <w:szCs w:val="26"/>
        </w:rPr>
        <w:t>Lokalne razvojne strategije (LRS)</w:t>
      </w:r>
      <w:bookmarkEnd w:id="11"/>
      <w:r w:rsidRPr="00AA4C8E">
        <w:t xml:space="preserve"> </w:t>
      </w:r>
    </w:p>
    <w:p w14:paraId="5A336E1D" w14:textId="77777777" w:rsidR="00E5072F" w:rsidRDefault="00E5072F" w:rsidP="009E3EA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Lokalne razvojne strategije (LRS) </w:t>
      </w:r>
      <w:r w:rsidR="009E3EA0" w:rsidRPr="00E5072F">
        <w:rPr>
          <w:rFonts w:asciiTheme="majorHAnsi" w:hAnsiTheme="majorHAnsi" w:cstheme="majorHAnsi"/>
        </w:rPr>
        <w:t>instrument su provedbe europske i nacionalne politike ruralnog</w:t>
      </w:r>
      <w:r>
        <w:rPr>
          <w:rFonts w:asciiTheme="majorHAnsi" w:hAnsiTheme="majorHAnsi" w:cstheme="majorHAnsi"/>
        </w:rPr>
        <w:t xml:space="preserve"> </w:t>
      </w:r>
      <w:r w:rsidR="009E3EA0" w:rsidRPr="00E5072F">
        <w:rPr>
          <w:rFonts w:asciiTheme="majorHAnsi" w:hAnsiTheme="majorHAnsi" w:cstheme="majorHAnsi"/>
        </w:rPr>
        <w:t>razvoja na lokalnoj razini. U Vodiču za pripremu, praćenje i evaluaciju strategija lokalnog razvoja za</w:t>
      </w:r>
      <w:r>
        <w:rPr>
          <w:rFonts w:asciiTheme="majorHAnsi" w:hAnsiTheme="majorHAnsi" w:cstheme="majorHAnsi"/>
        </w:rPr>
        <w:t xml:space="preserve"> </w:t>
      </w:r>
      <w:r w:rsidR="009E3EA0" w:rsidRPr="00E5072F">
        <w:rPr>
          <w:rFonts w:asciiTheme="majorHAnsi" w:hAnsiTheme="majorHAnsi" w:cstheme="majorHAnsi"/>
        </w:rPr>
        <w:t>programsko razdoblje 2014.-2020. (</w:t>
      </w:r>
      <w:proofErr w:type="spellStart"/>
      <w:r w:rsidR="009E3EA0" w:rsidRPr="00E5072F">
        <w:rPr>
          <w:rFonts w:asciiTheme="majorHAnsi" w:hAnsiTheme="majorHAnsi" w:cstheme="majorHAnsi"/>
        </w:rPr>
        <w:t>MPS</w:t>
      </w:r>
      <w:proofErr w:type="spellEnd"/>
      <w:r w:rsidR="009E3EA0" w:rsidRPr="00E5072F">
        <w:rPr>
          <w:rFonts w:asciiTheme="majorHAnsi" w:hAnsiTheme="majorHAnsi" w:cstheme="majorHAnsi"/>
        </w:rPr>
        <w:t>, 2015.) istaknuto je da se kroz ostvarenje ciljeva ruralnog</w:t>
      </w:r>
      <w:r>
        <w:rPr>
          <w:rFonts w:asciiTheme="majorHAnsi" w:hAnsiTheme="majorHAnsi" w:cstheme="majorHAnsi"/>
        </w:rPr>
        <w:t xml:space="preserve"> </w:t>
      </w:r>
      <w:r w:rsidR="009E3EA0" w:rsidRPr="00E5072F">
        <w:rPr>
          <w:rFonts w:asciiTheme="majorHAnsi" w:hAnsiTheme="majorHAnsi" w:cstheme="majorHAnsi"/>
        </w:rPr>
        <w:t>razvoja doprinosi strategiji Europa 2020 za pametan, održiv i uključiv razvoj što se postiže kroz šest</w:t>
      </w:r>
      <w:r>
        <w:rPr>
          <w:rFonts w:asciiTheme="majorHAnsi" w:hAnsiTheme="majorHAnsi" w:cstheme="majorHAnsi"/>
        </w:rPr>
        <w:t xml:space="preserve"> </w:t>
      </w:r>
      <w:r w:rsidR="009E3EA0" w:rsidRPr="00E5072F">
        <w:rPr>
          <w:rFonts w:asciiTheme="majorHAnsi" w:hAnsiTheme="majorHAnsi" w:cstheme="majorHAnsi"/>
        </w:rPr>
        <w:t>prioriteta Europske unije za ruralni razvoj. U skladu s hrvatskim nacionalnim Programom ruralnog</w:t>
      </w:r>
      <w:r>
        <w:rPr>
          <w:rFonts w:asciiTheme="majorHAnsi" w:hAnsiTheme="majorHAnsi" w:cstheme="majorHAnsi"/>
        </w:rPr>
        <w:t xml:space="preserve"> </w:t>
      </w:r>
      <w:r w:rsidR="009E3EA0" w:rsidRPr="00E5072F">
        <w:rPr>
          <w:rFonts w:asciiTheme="majorHAnsi" w:hAnsiTheme="majorHAnsi" w:cstheme="majorHAnsi"/>
        </w:rPr>
        <w:t>razvoja (</w:t>
      </w:r>
      <w:proofErr w:type="spellStart"/>
      <w:r w:rsidR="009E3EA0" w:rsidRPr="00E5072F">
        <w:rPr>
          <w:rFonts w:asciiTheme="majorHAnsi" w:hAnsiTheme="majorHAnsi" w:cstheme="majorHAnsi"/>
        </w:rPr>
        <w:t>PRR</w:t>
      </w:r>
      <w:proofErr w:type="spellEnd"/>
      <w:r w:rsidR="009E3EA0" w:rsidRPr="00E5072F">
        <w:rPr>
          <w:rFonts w:asciiTheme="majorHAnsi" w:hAnsiTheme="majorHAnsi" w:cstheme="majorHAnsi"/>
        </w:rPr>
        <w:t>), LRS treba doprinositi jednom ili više fokus područja Europskoga poljoprivrednog fonda</w:t>
      </w:r>
      <w:r>
        <w:rPr>
          <w:rFonts w:asciiTheme="majorHAnsi" w:hAnsiTheme="majorHAnsi" w:cstheme="majorHAnsi"/>
        </w:rPr>
        <w:t xml:space="preserve"> </w:t>
      </w:r>
      <w:r w:rsidR="009E3EA0" w:rsidRPr="00E5072F">
        <w:rPr>
          <w:rFonts w:asciiTheme="majorHAnsi" w:hAnsiTheme="majorHAnsi" w:cstheme="majorHAnsi"/>
        </w:rPr>
        <w:t>za ruralni razvoj (</w:t>
      </w:r>
      <w:proofErr w:type="spellStart"/>
      <w:r w:rsidR="009E3EA0" w:rsidRPr="00E5072F">
        <w:rPr>
          <w:rFonts w:asciiTheme="majorHAnsi" w:hAnsiTheme="majorHAnsi" w:cstheme="majorHAnsi"/>
        </w:rPr>
        <w:t>EPFRR</w:t>
      </w:r>
      <w:proofErr w:type="spellEnd"/>
      <w:r w:rsidR="009E3EA0" w:rsidRPr="00E5072F">
        <w:rPr>
          <w:rFonts w:asciiTheme="majorHAnsi" w:hAnsiTheme="majorHAnsi" w:cstheme="majorHAnsi"/>
        </w:rPr>
        <w:t>). Ta su fokus područja prethodno definirana u Uredbi (EU) br. 1305/2013</w:t>
      </w:r>
      <w:r>
        <w:rPr>
          <w:rFonts w:asciiTheme="majorHAnsi" w:hAnsiTheme="majorHAnsi" w:cstheme="majorHAnsi"/>
        </w:rPr>
        <w:t xml:space="preserve"> </w:t>
      </w:r>
      <w:r w:rsidR="009E3EA0" w:rsidRPr="00E5072F">
        <w:rPr>
          <w:rFonts w:asciiTheme="majorHAnsi" w:hAnsiTheme="majorHAnsi" w:cstheme="majorHAnsi"/>
        </w:rPr>
        <w:t xml:space="preserve">Europskog parlamenta i Vijeća od 17. prosinca 2013. o potpori ruralnom razvoju iz </w:t>
      </w:r>
      <w:proofErr w:type="spellStart"/>
      <w:r w:rsidR="009E3EA0" w:rsidRPr="00E5072F">
        <w:rPr>
          <w:rFonts w:asciiTheme="majorHAnsi" w:hAnsiTheme="majorHAnsi" w:cstheme="majorHAnsi"/>
        </w:rPr>
        <w:t>EPFRR</w:t>
      </w:r>
      <w:proofErr w:type="spellEnd"/>
      <w:r w:rsidR="009E3EA0" w:rsidRPr="00E5072F">
        <w:rPr>
          <w:rFonts w:asciiTheme="majorHAnsi" w:hAnsiTheme="majorHAnsi" w:cstheme="majorHAnsi"/>
        </w:rPr>
        <w:t>-a. Prema</w:t>
      </w:r>
      <w:r>
        <w:rPr>
          <w:rFonts w:asciiTheme="majorHAnsi" w:hAnsiTheme="majorHAnsi" w:cstheme="majorHAnsi"/>
        </w:rPr>
        <w:t xml:space="preserve"> </w:t>
      </w:r>
      <w:proofErr w:type="spellStart"/>
      <w:r w:rsidR="009E3EA0" w:rsidRPr="00E5072F">
        <w:rPr>
          <w:rFonts w:asciiTheme="majorHAnsi" w:hAnsiTheme="majorHAnsi" w:cstheme="majorHAnsi"/>
        </w:rPr>
        <w:t>PRR</w:t>
      </w:r>
      <w:proofErr w:type="spellEnd"/>
      <w:r w:rsidR="009E3EA0" w:rsidRPr="00E5072F">
        <w:rPr>
          <w:rFonts w:asciiTheme="majorHAnsi" w:hAnsiTheme="majorHAnsi" w:cstheme="majorHAnsi"/>
        </w:rPr>
        <w:t xml:space="preserve">-u za razdoblje 2014.-2020., provedba </w:t>
      </w:r>
      <w:proofErr w:type="spellStart"/>
      <w:r w:rsidR="009E3EA0" w:rsidRPr="00E5072F">
        <w:rPr>
          <w:rFonts w:asciiTheme="majorHAnsi" w:hAnsiTheme="majorHAnsi" w:cstheme="majorHAnsi"/>
        </w:rPr>
        <w:t>CLLD</w:t>
      </w:r>
      <w:proofErr w:type="spellEnd"/>
      <w:r w:rsidR="009E3EA0" w:rsidRPr="00E5072F">
        <w:rPr>
          <w:rFonts w:asciiTheme="majorHAnsi" w:hAnsiTheme="majorHAnsi" w:cstheme="majorHAnsi"/>
        </w:rPr>
        <w:t>/LEADER-a treba doprinijeti postizanju svih šest</w:t>
      </w:r>
      <w:r>
        <w:rPr>
          <w:rFonts w:asciiTheme="majorHAnsi" w:hAnsiTheme="majorHAnsi" w:cstheme="majorHAnsi"/>
        </w:rPr>
        <w:t xml:space="preserve"> </w:t>
      </w:r>
      <w:r w:rsidR="009E3EA0" w:rsidRPr="00E5072F">
        <w:rPr>
          <w:rFonts w:asciiTheme="majorHAnsi" w:hAnsiTheme="majorHAnsi" w:cstheme="majorHAnsi"/>
        </w:rPr>
        <w:t xml:space="preserve">prioriteta Europske unije za razdoblje 2014.-2020. Pristup </w:t>
      </w:r>
      <w:proofErr w:type="spellStart"/>
      <w:r w:rsidR="009E3EA0" w:rsidRPr="00E5072F">
        <w:rPr>
          <w:rFonts w:asciiTheme="majorHAnsi" w:hAnsiTheme="majorHAnsi" w:cstheme="majorHAnsi"/>
        </w:rPr>
        <w:t>CLLD</w:t>
      </w:r>
      <w:proofErr w:type="spellEnd"/>
      <w:r w:rsidR="009E3EA0" w:rsidRPr="00E5072F">
        <w:rPr>
          <w:rFonts w:asciiTheme="majorHAnsi" w:hAnsiTheme="majorHAnsi" w:cstheme="majorHAnsi"/>
        </w:rPr>
        <w:t>/LEADER najizravnije doprinosi fokus</w:t>
      </w:r>
      <w:r>
        <w:rPr>
          <w:rFonts w:asciiTheme="majorHAnsi" w:hAnsiTheme="majorHAnsi" w:cstheme="majorHAnsi"/>
        </w:rPr>
        <w:t xml:space="preserve"> </w:t>
      </w:r>
      <w:r w:rsidR="009E3EA0" w:rsidRPr="00E5072F">
        <w:rPr>
          <w:rFonts w:asciiTheme="majorHAnsi" w:hAnsiTheme="majorHAnsi" w:cstheme="majorHAnsi"/>
        </w:rPr>
        <w:t>području 6B - lokalni razvoj u ruralnim područjima. Na nacionalnoj je razini odlučeno da tipovi</w:t>
      </w:r>
      <w:r>
        <w:rPr>
          <w:rFonts w:asciiTheme="majorHAnsi" w:hAnsiTheme="majorHAnsi" w:cstheme="majorHAnsi"/>
        </w:rPr>
        <w:t xml:space="preserve"> </w:t>
      </w:r>
      <w:r w:rsidR="009E3EA0" w:rsidRPr="00E5072F">
        <w:rPr>
          <w:rFonts w:asciiTheme="majorHAnsi" w:hAnsiTheme="majorHAnsi" w:cstheme="majorHAnsi"/>
        </w:rPr>
        <w:t>operacija koje će se podržavati tijekom provedbe LRS-a trebaju biti u skladu s fokus područjima 2A,</w:t>
      </w:r>
      <w:r>
        <w:rPr>
          <w:rFonts w:asciiTheme="majorHAnsi" w:hAnsiTheme="majorHAnsi" w:cstheme="majorHAnsi"/>
        </w:rPr>
        <w:t xml:space="preserve"> </w:t>
      </w:r>
      <w:r w:rsidR="009E3EA0" w:rsidRPr="00E5072F">
        <w:rPr>
          <w:rFonts w:asciiTheme="majorHAnsi" w:hAnsiTheme="majorHAnsi" w:cstheme="majorHAnsi"/>
        </w:rPr>
        <w:t>2B, 2C+, 3A, 4A, 4B, 4C, 5C, 5D, 6A i 6B. Fokus područje 1 „poticanje prijenosa znanja i inovacija u</w:t>
      </w:r>
      <w:r>
        <w:rPr>
          <w:rFonts w:asciiTheme="majorHAnsi" w:hAnsiTheme="majorHAnsi" w:cstheme="majorHAnsi"/>
        </w:rPr>
        <w:t xml:space="preserve"> </w:t>
      </w:r>
      <w:r w:rsidR="009E3EA0" w:rsidRPr="00E5072F">
        <w:rPr>
          <w:rFonts w:asciiTheme="majorHAnsi" w:hAnsiTheme="majorHAnsi" w:cstheme="majorHAnsi"/>
        </w:rPr>
        <w:t>poljoprivredi, šumarstvu i ruralnim područjima” treba uzeti u obzir kao horizontalno pitanje. Uz fokus</w:t>
      </w:r>
      <w:r>
        <w:rPr>
          <w:rFonts w:asciiTheme="majorHAnsi" w:hAnsiTheme="majorHAnsi" w:cstheme="majorHAnsi"/>
        </w:rPr>
        <w:t xml:space="preserve"> </w:t>
      </w:r>
      <w:r w:rsidR="009E3EA0" w:rsidRPr="00E5072F">
        <w:rPr>
          <w:rFonts w:asciiTheme="majorHAnsi" w:hAnsiTheme="majorHAnsi" w:cstheme="majorHAnsi"/>
        </w:rPr>
        <w:t>područja gore naveden popis mjera iz Uredbe, kao i iznosi potpore u Prilogu 2. Uredbe, orijentacija su</w:t>
      </w:r>
      <w:r>
        <w:rPr>
          <w:rFonts w:asciiTheme="majorHAnsi" w:hAnsiTheme="majorHAnsi" w:cstheme="majorHAnsi"/>
        </w:rPr>
        <w:t xml:space="preserve"> </w:t>
      </w:r>
      <w:r w:rsidR="009E3EA0" w:rsidRPr="00E5072F">
        <w:rPr>
          <w:rFonts w:asciiTheme="majorHAnsi" w:hAnsiTheme="majorHAnsi" w:cstheme="majorHAnsi"/>
        </w:rPr>
        <w:t xml:space="preserve">za LAG u opisivanju provedbe LRS-a kao i u planiranju financijskih sredstava u okviru </w:t>
      </w:r>
      <w:proofErr w:type="spellStart"/>
      <w:r w:rsidR="009E3EA0" w:rsidRPr="00E5072F">
        <w:rPr>
          <w:rFonts w:asciiTheme="majorHAnsi" w:hAnsiTheme="majorHAnsi" w:cstheme="majorHAnsi"/>
        </w:rPr>
        <w:t>Podmjere</w:t>
      </w:r>
      <w:proofErr w:type="spellEnd"/>
      <w:r w:rsidR="009E3EA0" w:rsidRPr="00E5072F">
        <w:rPr>
          <w:rFonts w:asciiTheme="majorHAnsi" w:hAnsiTheme="majorHAnsi" w:cstheme="majorHAnsi"/>
        </w:rPr>
        <w:t xml:space="preserve"> 19.2.</w:t>
      </w:r>
      <w:r>
        <w:rPr>
          <w:rFonts w:asciiTheme="majorHAnsi" w:hAnsiTheme="majorHAnsi" w:cstheme="majorHAnsi"/>
        </w:rPr>
        <w:t xml:space="preserve"> </w:t>
      </w:r>
      <w:r w:rsidR="009E3EA0" w:rsidRPr="00E5072F">
        <w:rPr>
          <w:rFonts w:asciiTheme="majorHAnsi" w:hAnsiTheme="majorHAnsi" w:cstheme="majorHAnsi"/>
        </w:rPr>
        <w:t>Programa.</w:t>
      </w:r>
    </w:p>
    <w:p w14:paraId="3075F346" w14:textId="4395E228" w:rsidR="009E3EA0" w:rsidRPr="00E5072F" w:rsidRDefault="009E3EA0" w:rsidP="00AA4C8E">
      <w:pPr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t xml:space="preserve">Provedba LRS doprinosi postizanju ciljeva </w:t>
      </w:r>
      <w:proofErr w:type="spellStart"/>
      <w:r w:rsidRPr="00E5072F">
        <w:rPr>
          <w:rFonts w:asciiTheme="majorHAnsi" w:hAnsiTheme="majorHAnsi" w:cstheme="majorHAnsi"/>
        </w:rPr>
        <w:t>PRR</w:t>
      </w:r>
      <w:proofErr w:type="spellEnd"/>
      <w:r w:rsidRPr="00E5072F">
        <w:rPr>
          <w:rFonts w:asciiTheme="majorHAnsi" w:hAnsiTheme="majorHAnsi" w:cstheme="majorHAnsi"/>
        </w:rPr>
        <w:t xml:space="preserve"> za razdoblje 2014.-2020. kojim su postavljeni sljedeći</w:t>
      </w:r>
      <w:r w:rsidR="00E5072F">
        <w:rPr>
          <w:rFonts w:asciiTheme="majorHAnsi" w:hAnsiTheme="majorHAnsi" w:cstheme="majorHAnsi"/>
        </w:rPr>
        <w:t xml:space="preserve"> </w:t>
      </w:r>
      <w:r w:rsidRPr="00E5072F">
        <w:rPr>
          <w:rFonts w:asciiTheme="majorHAnsi" w:hAnsiTheme="majorHAnsi" w:cstheme="majorHAnsi"/>
        </w:rPr>
        <w:t xml:space="preserve">opći ciljevi za pristup </w:t>
      </w:r>
      <w:proofErr w:type="spellStart"/>
      <w:r w:rsidRPr="00E5072F">
        <w:rPr>
          <w:rFonts w:asciiTheme="majorHAnsi" w:hAnsiTheme="majorHAnsi" w:cstheme="majorHAnsi"/>
        </w:rPr>
        <w:t>CLLD</w:t>
      </w:r>
      <w:proofErr w:type="spellEnd"/>
      <w:r w:rsidRPr="00E5072F">
        <w:rPr>
          <w:rFonts w:asciiTheme="majorHAnsi" w:hAnsiTheme="majorHAnsi" w:cstheme="majorHAnsi"/>
        </w:rPr>
        <w:t xml:space="preserve">/ LEADER u Hrvatskoj kao rezultat </w:t>
      </w:r>
      <w:proofErr w:type="spellStart"/>
      <w:r w:rsidRPr="00E5072F">
        <w:rPr>
          <w:rFonts w:asciiTheme="majorHAnsi" w:hAnsiTheme="majorHAnsi" w:cstheme="majorHAnsi"/>
        </w:rPr>
        <w:t>SWOT</w:t>
      </w:r>
      <w:proofErr w:type="spellEnd"/>
      <w:r w:rsidRPr="00E5072F">
        <w:rPr>
          <w:rFonts w:asciiTheme="majorHAnsi" w:hAnsiTheme="majorHAnsi" w:cstheme="majorHAnsi"/>
        </w:rPr>
        <w:t xml:space="preserve"> analize na nacionalnoj razini:</w:t>
      </w:r>
    </w:p>
    <w:p w14:paraId="38028F0F" w14:textId="77777777" w:rsidR="009E3EA0" w:rsidRPr="00E5072F" w:rsidRDefault="009E3EA0" w:rsidP="009E3EA0">
      <w:pPr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t>­ podržati ruralni razvoj putem lokalnih inicijativa i partnerstava;</w:t>
      </w:r>
    </w:p>
    <w:p w14:paraId="553708FE" w14:textId="77777777" w:rsidR="009E3EA0" w:rsidRPr="00E5072F" w:rsidRDefault="009E3EA0" w:rsidP="009E3EA0">
      <w:pPr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t>­ unaprijediti i poticati politiku ruralnog razvoja;</w:t>
      </w:r>
    </w:p>
    <w:p w14:paraId="3B60CA3F" w14:textId="77777777" w:rsidR="009E3EA0" w:rsidRPr="00E5072F" w:rsidRDefault="009E3EA0" w:rsidP="009E3EA0">
      <w:pPr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t>­ podići svijest koristeći pristup „odozdo prema gore” i važnost definiranja LRS;</w:t>
      </w:r>
    </w:p>
    <w:p w14:paraId="0B3BA1CA" w14:textId="77777777" w:rsidR="009E3EA0" w:rsidRPr="00E5072F" w:rsidRDefault="009E3EA0" w:rsidP="009E3EA0">
      <w:pPr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t>­ podići razinu obrazovanja i informiranosti ruralnog stanovništva;</w:t>
      </w:r>
    </w:p>
    <w:p w14:paraId="09BA8021" w14:textId="77777777" w:rsidR="009E3EA0" w:rsidRPr="00E5072F" w:rsidRDefault="009E3EA0" w:rsidP="009E3EA0">
      <w:pPr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t>­ poboljšati životne i radne uvjete i dobrobiti ruralnog stanovništva;</w:t>
      </w:r>
    </w:p>
    <w:p w14:paraId="52D218E0" w14:textId="77777777" w:rsidR="009E3EA0" w:rsidRPr="00E5072F" w:rsidRDefault="009E3EA0" w:rsidP="009E3EA0">
      <w:pPr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t>­ stvoriti nove, održive mogućnosti zarađivanja dohotka;</w:t>
      </w:r>
    </w:p>
    <w:p w14:paraId="61112DA1" w14:textId="77777777" w:rsidR="009E3EA0" w:rsidRPr="00E5072F" w:rsidRDefault="009E3EA0" w:rsidP="009E3EA0">
      <w:pPr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t>­ održavati i stvarati nova radna mjesta;</w:t>
      </w:r>
    </w:p>
    <w:p w14:paraId="6B1054AC" w14:textId="77777777" w:rsidR="009E3EA0" w:rsidRPr="00E5072F" w:rsidRDefault="009E3EA0" w:rsidP="00AA4C8E">
      <w:pPr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lastRenderedPageBreak/>
        <w:t>­ diversifikacija gospodarskih aktivnosti.</w:t>
      </w:r>
    </w:p>
    <w:p w14:paraId="6C8D4CDB" w14:textId="77777777" w:rsidR="009E3EA0" w:rsidRPr="00E5072F" w:rsidRDefault="009E3EA0" w:rsidP="00AA4C8E">
      <w:pPr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t>Te opće ciljeve nadopunjuju sljedeći posebni i operativni ciljevi:</w:t>
      </w:r>
    </w:p>
    <w:p w14:paraId="03CA6FDD" w14:textId="4FAF611B" w:rsidR="009E3EA0" w:rsidRPr="00B60BB2" w:rsidRDefault="00B60BB2" w:rsidP="00AA4C8E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B60BB2">
        <w:rPr>
          <w:rFonts w:asciiTheme="majorHAnsi" w:hAnsiTheme="majorHAnsi" w:cstheme="majorHAnsi"/>
        </w:rPr>
        <w:t>P</w:t>
      </w:r>
      <w:r w:rsidR="009E3EA0" w:rsidRPr="00B60BB2">
        <w:rPr>
          <w:rFonts w:asciiTheme="majorHAnsi" w:hAnsiTheme="majorHAnsi" w:cstheme="majorHAnsi"/>
        </w:rPr>
        <w:t>osebni ciljevi:</w:t>
      </w:r>
    </w:p>
    <w:p w14:paraId="08321FF8" w14:textId="77777777" w:rsidR="009E3EA0" w:rsidRPr="00E5072F" w:rsidRDefault="009E3EA0" w:rsidP="00AA4C8E">
      <w:pPr>
        <w:ind w:left="708"/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t>­ poticati i razvijati aktivnosti ruralnog razvoja da bi djelovale zajednički putem projekata suradnje;</w:t>
      </w:r>
    </w:p>
    <w:p w14:paraId="060126CB" w14:textId="77777777" w:rsidR="009E3EA0" w:rsidRPr="00E5072F" w:rsidRDefault="009E3EA0" w:rsidP="00AA4C8E">
      <w:pPr>
        <w:ind w:left="708"/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t>­ razviti integrirane strategije lokalnog razvoja i pripremiti njihovu provedbu;</w:t>
      </w:r>
    </w:p>
    <w:p w14:paraId="7539E7F9" w14:textId="77777777" w:rsidR="009E3EA0" w:rsidRPr="00E5072F" w:rsidRDefault="009E3EA0" w:rsidP="00AA4C8E">
      <w:pPr>
        <w:ind w:left="708"/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t>­ poticati lokalne inicijative i partnerstva kroz uključivanje lokalnih zajednica kao i predstavnika</w:t>
      </w:r>
    </w:p>
    <w:p w14:paraId="49853E6E" w14:textId="77777777" w:rsidR="009E3EA0" w:rsidRPr="00E5072F" w:rsidRDefault="009E3EA0" w:rsidP="00AA4C8E">
      <w:pPr>
        <w:ind w:left="708"/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t>poduzetništva i lokalne uprave;</w:t>
      </w:r>
    </w:p>
    <w:p w14:paraId="17B8EF49" w14:textId="77777777" w:rsidR="009E3EA0" w:rsidRPr="00E5072F" w:rsidRDefault="009E3EA0" w:rsidP="00AA4C8E">
      <w:pPr>
        <w:ind w:left="708"/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t>­ prenositi postignuća, iskustva i stručno znanje, i dostupnost informacija i zaključke.</w:t>
      </w:r>
    </w:p>
    <w:p w14:paraId="2CC07785" w14:textId="74B77089" w:rsidR="009E3EA0" w:rsidRPr="00B60BB2" w:rsidRDefault="00B60BB2" w:rsidP="00AA4C8E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B60BB2">
        <w:rPr>
          <w:rFonts w:asciiTheme="majorHAnsi" w:hAnsiTheme="majorHAnsi" w:cstheme="majorHAnsi"/>
        </w:rPr>
        <w:t>Operativni</w:t>
      </w:r>
      <w:r w:rsidR="009E3EA0" w:rsidRPr="00B60BB2">
        <w:rPr>
          <w:rFonts w:asciiTheme="majorHAnsi" w:hAnsiTheme="majorHAnsi" w:cstheme="majorHAnsi"/>
        </w:rPr>
        <w:t xml:space="preserve"> ciljevi su sljedeći:</w:t>
      </w:r>
    </w:p>
    <w:p w14:paraId="6EB60567" w14:textId="77777777" w:rsidR="009E3EA0" w:rsidRPr="00E5072F" w:rsidRDefault="009E3EA0" w:rsidP="00AA4C8E">
      <w:pPr>
        <w:ind w:left="708"/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t>­ jačati kapacitete među ruralnim stanovništvom i partnerstvima;</w:t>
      </w:r>
    </w:p>
    <w:p w14:paraId="6F4F21C4" w14:textId="57FA2352" w:rsidR="009E3EA0" w:rsidRPr="00E5072F" w:rsidRDefault="009E3EA0" w:rsidP="00AA4C8E">
      <w:pPr>
        <w:ind w:left="708"/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t>­ razviti, organizirati i upravljati LAG-ovima;</w:t>
      </w:r>
    </w:p>
    <w:p w14:paraId="690DD62D" w14:textId="77777777" w:rsidR="00E5072F" w:rsidRPr="00E5072F" w:rsidRDefault="00E5072F" w:rsidP="00AA4C8E">
      <w:pPr>
        <w:ind w:left="708"/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t>­ pripremati i provoditi LRS;</w:t>
      </w:r>
    </w:p>
    <w:p w14:paraId="52DE7B46" w14:textId="77777777" w:rsidR="00E5072F" w:rsidRPr="00E5072F" w:rsidRDefault="00E5072F" w:rsidP="00AA4C8E">
      <w:pPr>
        <w:ind w:left="708"/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t>­ suradnja među područjima i grupama.</w:t>
      </w:r>
    </w:p>
    <w:p w14:paraId="03FE6872" w14:textId="2DC62255" w:rsidR="00E5072F" w:rsidRPr="00E5072F" w:rsidRDefault="00E5072F" w:rsidP="00AA4C8E">
      <w:pPr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t>Mjera 19 doprinosi ostvarenju međusektorskih ciljeva koji se odnose na klimatske promjene, okoliš i</w:t>
      </w:r>
      <w:r w:rsidR="00B60BB2">
        <w:rPr>
          <w:rFonts w:asciiTheme="majorHAnsi" w:hAnsiTheme="majorHAnsi" w:cstheme="majorHAnsi"/>
        </w:rPr>
        <w:t xml:space="preserve"> </w:t>
      </w:r>
      <w:r w:rsidRPr="00E5072F">
        <w:rPr>
          <w:rFonts w:asciiTheme="majorHAnsi" w:hAnsiTheme="majorHAnsi" w:cstheme="majorHAnsi"/>
        </w:rPr>
        <w:t>inovacije:</w:t>
      </w:r>
    </w:p>
    <w:p w14:paraId="1ED85E22" w14:textId="503A751C" w:rsidR="00E5072F" w:rsidRPr="00E5072F" w:rsidRDefault="00E5072F" w:rsidP="00AA4C8E">
      <w:pPr>
        <w:ind w:left="708"/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t>­ Klimatske promjene – prilikom provedbe mjera iz LRS-a potrebno je osigurati da te mjere pridonose</w:t>
      </w:r>
      <w:r w:rsidR="00B60BB2">
        <w:rPr>
          <w:rFonts w:asciiTheme="majorHAnsi" w:hAnsiTheme="majorHAnsi" w:cstheme="majorHAnsi"/>
        </w:rPr>
        <w:t xml:space="preserve"> </w:t>
      </w:r>
      <w:r w:rsidRPr="00E5072F">
        <w:rPr>
          <w:rFonts w:asciiTheme="majorHAnsi" w:hAnsiTheme="majorHAnsi" w:cstheme="majorHAnsi"/>
        </w:rPr>
        <w:t>prilagodbi i ublažavanju negativnih posljedica klimatskih promjena (osobito usmjerene na održive</w:t>
      </w:r>
      <w:r w:rsidR="00B60BB2">
        <w:rPr>
          <w:rFonts w:asciiTheme="majorHAnsi" w:hAnsiTheme="majorHAnsi" w:cstheme="majorHAnsi"/>
        </w:rPr>
        <w:t xml:space="preserve"> </w:t>
      </w:r>
      <w:r w:rsidRPr="00E5072F">
        <w:rPr>
          <w:rFonts w:asciiTheme="majorHAnsi" w:hAnsiTheme="majorHAnsi" w:cstheme="majorHAnsi"/>
        </w:rPr>
        <w:t>izvore energije i korištenje „zelene“ energije).</w:t>
      </w:r>
    </w:p>
    <w:p w14:paraId="2E184C27" w14:textId="6C29E5E9" w:rsidR="00E5072F" w:rsidRPr="00E5072F" w:rsidRDefault="00E5072F" w:rsidP="00AA4C8E">
      <w:pPr>
        <w:ind w:left="708"/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t>­ Okoliš – Kroz LRS se mora podizati svijest o zaštiti okoliša, te mora sadržavati praktične mjere za</w:t>
      </w:r>
      <w:r w:rsidR="00B60BB2">
        <w:rPr>
          <w:rFonts w:asciiTheme="majorHAnsi" w:hAnsiTheme="majorHAnsi" w:cstheme="majorHAnsi"/>
        </w:rPr>
        <w:t xml:space="preserve"> </w:t>
      </w:r>
      <w:r w:rsidRPr="00E5072F">
        <w:rPr>
          <w:rFonts w:asciiTheme="majorHAnsi" w:hAnsiTheme="majorHAnsi" w:cstheme="majorHAnsi"/>
        </w:rPr>
        <w:t>smanjenje štetnih posljedica na okoliš i mjere koje će doprinijeti njegovoj zaštiti.</w:t>
      </w:r>
    </w:p>
    <w:p w14:paraId="7AD7D6FB" w14:textId="056E53E2" w:rsidR="00E5072F" w:rsidRPr="00E5072F" w:rsidRDefault="00E5072F" w:rsidP="00AA4C8E">
      <w:pPr>
        <w:ind w:left="708"/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t>­ Inovativnost – svaki LAG u svom LRS-u treba opisati mogućnosti za identifikaciju integriranih i</w:t>
      </w:r>
      <w:r w:rsidR="00B60BB2">
        <w:rPr>
          <w:rFonts w:asciiTheme="majorHAnsi" w:hAnsiTheme="majorHAnsi" w:cstheme="majorHAnsi"/>
        </w:rPr>
        <w:t xml:space="preserve"> </w:t>
      </w:r>
      <w:r w:rsidRPr="00E5072F">
        <w:rPr>
          <w:rFonts w:asciiTheme="majorHAnsi" w:hAnsiTheme="majorHAnsi" w:cstheme="majorHAnsi"/>
        </w:rPr>
        <w:t>inovativnih lokalnih rješenja za lokalne probleme. U okviru provedbe LRS-a primjereno je</w:t>
      </w:r>
      <w:r w:rsidR="00B60BB2">
        <w:rPr>
          <w:rFonts w:asciiTheme="majorHAnsi" w:hAnsiTheme="majorHAnsi" w:cstheme="majorHAnsi"/>
        </w:rPr>
        <w:t xml:space="preserve"> </w:t>
      </w:r>
      <w:r w:rsidRPr="00E5072F">
        <w:rPr>
          <w:rFonts w:asciiTheme="majorHAnsi" w:hAnsiTheme="majorHAnsi" w:cstheme="majorHAnsi"/>
        </w:rPr>
        <w:t>podupirati inovativne projekte koji će pridonijeti rješavanju problema koji nisu bili adekvatno</w:t>
      </w:r>
      <w:r w:rsidR="00B60BB2">
        <w:rPr>
          <w:rFonts w:asciiTheme="majorHAnsi" w:hAnsiTheme="majorHAnsi" w:cstheme="majorHAnsi"/>
        </w:rPr>
        <w:t xml:space="preserve"> </w:t>
      </w:r>
      <w:r w:rsidRPr="00E5072F">
        <w:rPr>
          <w:rFonts w:asciiTheme="majorHAnsi" w:hAnsiTheme="majorHAnsi" w:cstheme="majorHAnsi"/>
        </w:rPr>
        <w:t>riješeni drugim mjerama ruralnog razvoja.</w:t>
      </w:r>
    </w:p>
    <w:p w14:paraId="45280DA5" w14:textId="0F31B162" w:rsidR="00E5072F" w:rsidRDefault="00E5072F" w:rsidP="00AA4C8E">
      <w:pPr>
        <w:jc w:val="both"/>
        <w:rPr>
          <w:rFonts w:asciiTheme="majorHAnsi" w:hAnsiTheme="majorHAnsi" w:cstheme="majorHAnsi"/>
        </w:rPr>
      </w:pPr>
      <w:r w:rsidRPr="00E5072F">
        <w:rPr>
          <w:rFonts w:asciiTheme="majorHAnsi" w:hAnsiTheme="majorHAnsi" w:cstheme="majorHAnsi"/>
        </w:rPr>
        <w:t>Osim što mora osigurati koherentnost s fokus područjima EU-a i ciljevima Programa, LAG mora</w:t>
      </w:r>
      <w:r w:rsidR="00B60BB2">
        <w:rPr>
          <w:rFonts w:asciiTheme="majorHAnsi" w:hAnsiTheme="majorHAnsi" w:cstheme="majorHAnsi"/>
        </w:rPr>
        <w:t xml:space="preserve"> </w:t>
      </w:r>
      <w:r w:rsidRPr="00E5072F">
        <w:rPr>
          <w:rFonts w:asciiTheme="majorHAnsi" w:hAnsiTheme="majorHAnsi" w:cstheme="majorHAnsi"/>
        </w:rPr>
        <w:t>osigurati i kompatibilnost pripreme i provedbe LRS-a s pravilima EU-a za državnu potporu u skladu s</w:t>
      </w:r>
      <w:r w:rsidR="00B60BB2">
        <w:rPr>
          <w:rFonts w:asciiTheme="majorHAnsi" w:hAnsiTheme="majorHAnsi" w:cstheme="majorHAnsi"/>
        </w:rPr>
        <w:t xml:space="preserve"> </w:t>
      </w:r>
      <w:r w:rsidRPr="00E5072F">
        <w:rPr>
          <w:rFonts w:asciiTheme="majorHAnsi" w:hAnsiTheme="majorHAnsi" w:cstheme="majorHAnsi"/>
        </w:rPr>
        <w:t xml:space="preserve">propisanim obaveznim elementima iz poglavlja 13. </w:t>
      </w:r>
      <w:proofErr w:type="spellStart"/>
      <w:r w:rsidRPr="00E5072F">
        <w:rPr>
          <w:rFonts w:asciiTheme="majorHAnsi" w:hAnsiTheme="majorHAnsi" w:cstheme="majorHAnsi"/>
        </w:rPr>
        <w:t>PRR</w:t>
      </w:r>
      <w:proofErr w:type="spellEnd"/>
      <w:r w:rsidRPr="00E5072F">
        <w:rPr>
          <w:rFonts w:asciiTheme="majorHAnsi" w:hAnsiTheme="majorHAnsi" w:cstheme="majorHAnsi"/>
        </w:rPr>
        <w:t>-a. Uz navedene ciljeve koji čine osnovu za</w:t>
      </w:r>
      <w:r w:rsidR="00B60BB2">
        <w:rPr>
          <w:rFonts w:asciiTheme="majorHAnsi" w:hAnsiTheme="majorHAnsi" w:cstheme="majorHAnsi"/>
        </w:rPr>
        <w:t xml:space="preserve"> </w:t>
      </w:r>
      <w:r w:rsidRPr="00E5072F">
        <w:rPr>
          <w:rFonts w:asciiTheme="majorHAnsi" w:hAnsiTheme="majorHAnsi" w:cstheme="majorHAnsi"/>
        </w:rPr>
        <w:t>pripremu LRS-a, važna je primjena pristupa „odozdo prema gore” i da se vlastiti ciljevi LAG-a temelje</w:t>
      </w:r>
      <w:r w:rsidR="00B60BB2">
        <w:rPr>
          <w:rFonts w:asciiTheme="majorHAnsi" w:hAnsiTheme="majorHAnsi" w:cstheme="majorHAnsi"/>
        </w:rPr>
        <w:t xml:space="preserve"> </w:t>
      </w:r>
      <w:r w:rsidRPr="00E5072F">
        <w:rPr>
          <w:rFonts w:asciiTheme="majorHAnsi" w:hAnsiTheme="majorHAnsi" w:cstheme="majorHAnsi"/>
        </w:rPr>
        <w:t xml:space="preserve">na nalazima </w:t>
      </w:r>
      <w:proofErr w:type="spellStart"/>
      <w:r w:rsidRPr="00E5072F">
        <w:rPr>
          <w:rFonts w:asciiTheme="majorHAnsi" w:hAnsiTheme="majorHAnsi" w:cstheme="majorHAnsi"/>
        </w:rPr>
        <w:t>SWOT</w:t>
      </w:r>
      <w:proofErr w:type="spellEnd"/>
      <w:r w:rsidRPr="00E5072F">
        <w:rPr>
          <w:rFonts w:asciiTheme="majorHAnsi" w:hAnsiTheme="majorHAnsi" w:cstheme="majorHAnsi"/>
        </w:rPr>
        <w:t xml:space="preserve"> analize i lokalnih značajki.</w:t>
      </w:r>
      <w:r w:rsidRPr="00E5072F">
        <w:rPr>
          <w:rFonts w:asciiTheme="majorHAnsi" w:hAnsiTheme="majorHAnsi" w:cstheme="majorHAnsi"/>
        </w:rPr>
        <w:cr/>
      </w:r>
    </w:p>
    <w:p w14:paraId="51749EF9" w14:textId="564A0622" w:rsidR="007629C3" w:rsidRDefault="007629C3" w:rsidP="00D51D18">
      <w:pPr>
        <w:pStyle w:val="Naslov2"/>
      </w:pPr>
      <w:bookmarkStart w:id="12" w:name="_Toc212823170"/>
      <w:r>
        <w:t>Područje LAG-a SAVA</w:t>
      </w:r>
      <w:bookmarkEnd w:id="12"/>
    </w:p>
    <w:p w14:paraId="3D592AAF" w14:textId="57BE91C6" w:rsidR="00C27DD4" w:rsidRPr="006E3427" w:rsidRDefault="00C27DD4" w:rsidP="00C27DD4">
      <w:pPr>
        <w:jc w:val="both"/>
        <w:rPr>
          <w:rFonts w:asciiTheme="majorHAnsi" w:hAnsiTheme="majorHAnsi" w:cstheme="majorHAnsi"/>
          <w:sz w:val="24"/>
          <w:szCs w:val="20"/>
        </w:rPr>
      </w:pPr>
      <w:r w:rsidRPr="00C27DD4">
        <w:rPr>
          <w:rFonts w:asciiTheme="majorHAnsi" w:hAnsiTheme="majorHAnsi" w:cstheme="majorHAnsi"/>
        </w:rPr>
        <w:t xml:space="preserve">LAG SAVA smješten je unutar teritorija Zagrebačke županije, točnije na njezinom zapadnom dijelu i obuhvaća teritorij 11 JLS-a. To su redom gradovi Jastrebarsko, Samobor, Sveta </w:t>
      </w:r>
      <w:proofErr w:type="spellStart"/>
      <w:r w:rsidRPr="00C27DD4">
        <w:rPr>
          <w:rFonts w:asciiTheme="majorHAnsi" w:hAnsiTheme="majorHAnsi" w:cstheme="majorHAnsi"/>
        </w:rPr>
        <w:t>Nedelja</w:t>
      </w:r>
      <w:proofErr w:type="spellEnd"/>
      <w:r w:rsidRPr="00C27DD4">
        <w:rPr>
          <w:rFonts w:asciiTheme="majorHAnsi" w:hAnsiTheme="majorHAnsi" w:cstheme="majorHAnsi"/>
        </w:rPr>
        <w:t xml:space="preserve"> i Zaprešić te općine Brdovec, Dubravica, Klinča Sela, Luka , Marija Gorica, </w:t>
      </w:r>
      <w:proofErr w:type="spellStart"/>
      <w:r w:rsidRPr="00C27DD4">
        <w:rPr>
          <w:rFonts w:asciiTheme="majorHAnsi" w:hAnsiTheme="majorHAnsi" w:cstheme="majorHAnsi"/>
        </w:rPr>
        <w:t>Pušća</w:t>
      </w:r>
      <w:proofErr w:type="spellEnd"/>
      <w:r w:rsidRPr="00C27DD4">
        <w:rPr>
          <w:rFonts w:asciiTheme="majorHAnsi" w:hAnsiTheme="majorHAnsi" w:cstheme="majorHAnsi"/>
        </w:rPr>
        <w:t xml:space="preserve"> i Stupnik. U sklopu navedenih JLS-a nalazi se 223 naselja, 32 % svih naselja Zagrebačke županije. Neke od općina su male (Luka, Marija Gorica, </w:t>
      </w:r>
      <w:proofErr w:type="spellStart"/>
      <w:r w:rsidRPr="00C27DD4">
        <w:rPr>
          <w:rFonts w:asciiTheme="majorHAnsi" w:hAnsiTheme="majorHAnsi" w:cstheme="majorHAnsi"/>
        </w:rPr>
        <w:t>Pušća</w:t>
      </w:r>
      <w:proofErr w:type="spellEnd"/>
      <w:r w:rsidRPr="00C27DD4">
        <w:rPr>
          <w:rFonts w:asciiTheme="majorHAnsi" w:hAnsiTheme="majorHAnsi" w:cstheme="majorHAnsi"/>
        </w:rPr>
        <w:t>), a neke su deseterostruko veće od njih (Jastrebarsko, Samobor). Prosječna veličina općine/grada s obzirom na broj JLS-a bi bila 71,07 km2.</w:t>
      </w:r>
      <w:r>
        <w:rPr>
          <w:rFonts w:asciiTheme="majorHAnsi" w:hAnsiTheme="majorHAnsi" w:cstheme="majorHAnsi"/>
        </w:rPr>
        <w:t xml:space="preserve">  </w:t>
      </w:r>
      <w:r w:rsidRPr="006E3427">
        <w:rPr>
          <w:rFonts w:asciiTheme="majorHAnsi" w:hAnsiTheme="majorHAnsi" w:cstheme="majorHAnsi"/>
          <w:sz w:val="24"/>
          <w:szCs w:val="20"/>
        </w:rPr>
        <w:t>Unutar JLS-a nalaze se naselja različite veličine</w:t>
      </w:r>
      <w:r>
        <w:rPr>
          <w:rFonts w:asciiTheme="majorHAnsi" w:hAnsiTheme="majorHAnsi" w:cstheme="majorHAnsi"/>
          <w:sz w:val="24"/>
          <w:szCs w:val="20"/>
        </w:rPr>
        <w:t>,</w:t>
      </w:r>
      <w:r w:rsidR="00D51D18">
        <w:rPr>
          <w:rFonts w:asciiTheme="majorHAnsi" w:hAnsiTheme="majorHAnsi" w:cstheme="majorHAnsi"/>
          <w:sz w:val="24"/>
          <w:szCs w:val="20"/>
        </w:rPr>
        <w:t xml:space="preserve"> </w:t>
      </w:r>
      <w:r w:rsidRPr="006E3427">
        <w:rPr>
          <w:rFonts w:asciiTheme="majorHAnsi" w:hAnsiTheme="majorHAnsi" w:cstheme="majorHAnsi"/>
          <w:sz w:val="24"/>
          <w:szCs w:val="20"/>
        </w:rPr>
        <w:t xml:space="preserve">od naselja s manje od deset stanovnika do naselja od nekoliko tisuća stanovnika. Prema </w:t>
      </w:r>
      <w:r w:rsidRPr="006E3427">
        <w:rPr>
          <w:rFonts w:asciiTheme="majorHAnsi" w:hAnsiTheme="majorHAnsi" w:cstheme="majorHAnsi"/>
          <w:sz w:val="24"/>
          <w:szCs w:val="20"/>
        </w:rPr>
        <w:lastRenderedPageBreak/>
        <w:t xml:space="preserve">popisu stanovništva iz 2021 (izvor: </w:t>
      </w:r>
      <w:proofErr w:type="spellStart"/>
      <w:r w:rsidRPr="006E3427">
        <w:rPr>
          <w:rFonts w:asciiTheme="majorHAnsi" w:hAnsiTheme="majorHAnsi" w:cstheme="majorHAnsi"/>
          <w:sz w:val="24"/>
          <w:szCs w:val="20"/>
        </w:rPr>
        <w:t>DZS</w:t>
      </w:r>
      <w:proofErr w:type="spellEnd"/>
      <w:r w:rsidRPr="006E3427">
        <w:rPr>
          <w:rFonts w:asciiTheme="majorHAnsi" w:hAnsiTheme="majorHAnsi" w:cstheme="majorHAnsi"/>
          <w:sz w:val="24"/>
          <w:szCs w:val="20"/>
        </w:rPr>
        <w:t>) neka naselja su i bez stanovnika. Prema tipu naselja, većinu čine ruralna naselja (219), dok je samih gradskih jezgra malo (4). Područje LAG-a S</w:t>
      </w:r>
      <w:r>
        <w:rPr>
          <w:rFonts w:asciiTheme="majorHAnsi" w:hAnsiTheme="majorHAnsi" w:cstheme="majorHAnsi"/>
          <w:sz w:val="24"/>
          <w:szCs w:val="20"/>
        </w:rPr>
        <w:t>AVA</w:t>
      </w:r>
      <w:r w:rsidRPr="006E3427">
        <w:rPr>
          <w:rFonts w:asciiTheme="majorHAnsi" w:hAnsiTheme="majorHAnsi" w:cstheme="majorHAnsi"/>
          <w:sz w:val="24"/>
          <w:szCs w:val="20"/>
        </w:rPr>
        <w:t xml:space="preserve"> dio je šireg metropolskog područja grada Zagreba i u tom kontekstu ima nekoliko značajnih komparativnih prednosti, prije svega zbog vrlo dobre povezanosti sa Zagrebom, te visokog stupnja očuvanosti krajolika, koje ujedno predstavljaju i glavne prostorne i razvojne resurse LAG-a.</w:t>
      </w:r>
    </w:p>
    <w:p w14:paraId="466C21CA" w14:textId="20C74F6C" w:rsidR="00C27DD4" w:rsidRDefault="00C27DD4" w:rsidP="00C27DD4">
      <w:pPr>
        <w:jc w:val="both"/>
        <w:rPr>
          <w:rFonts w:asciiTheme="majorHAnsi" w:hAnsiTheme="majorHAnsi" w:cstheme="majorHAnsi"/>
          <w:sz w:val="24"/>
          <w:szCs w:val="20"/>
        </w:rPr>
      </w:pPr>
      <w:r w:rsidRPr="006E3427">
        <w:rPr>
          <w:rFonts w:asciiTheme="majorHAnsi" w:hAnsiTheme="majorHAnsi" w:cstheme="majorHAnsi"/>
          <w:sz w:val="24"/>
          <w:szCs w:val="20"/>
        </w:rPr>
        <w:t xml:space="preserve">Sjedište LAG-a SAVA nalazi se u Zaprešiću koji je 2013. inicirao pokretanje LAG-a zajedno s Općinom Brdovec, te Gradovima Svetom </w:t>
      </w:r>
      <w:proofErr w:type="spellStart"/>
      <w:r w:rsidRPr="006E3427">
        <w:rPr>
          <w:rFonts w:asciiTheme="majorHAnsi" w:hAnsiTheme="majorHAnsi" w:cstheme="majorHAnsi"/>
          <w:sz w:val="24"/>
          <w:szCs w:val="20"/>
        </w:rPr>
        <w:t>Nedeljom</w:t>
      </w:r>
      <w:proofErr w:type="spellEnd"/>
      <w:r w:rsidRPr="006E3427">
        <w:rPr>
          <w:rFonts w:asciiTheme="majorHAnsi" w:hAnsiTheme="majorHAnsi" w:cstheme="majorHAnsi"/>
          <w:sz w:val="24"/>
          <w:szCs w:val="20"/>
        </w:rPr>
        <w:t xml:space="preserve"> i Samoborom. Kasnije su se LAG-u pridružile Općine koje su i danas u sastavu LAG-a a zadnji se LAG-u pridružio Grad Jastrebarsko.</w:t>
      </w:r>
    </w:p>
    <w:p w14:paraId="321110B1" w14:textId="77777777" w:rsidR="00BA233A" w:rsidRPr="006E3427" w:rsidRDefault="00BA233A" w:rsidP="00D51D18">
      <w:pPr>
        <w:pStyle w:val="Naslov4"/>
      </w:pPr>
      <w:bookmarkStart w:id="13" w:name="_Toc160176172"/>
      <w:r w:rsidRPr="006E3427">
        <w:t>Slika 1. Karta LAG područja s vidljivim granicama JLS-ova u LAG-u</w:t>
      </w:r>
      <w:bookmarkEnd w:id="13"/>
    </w:p>
    <w:p w14:paraId="53BA29EB" w14:textId="77777777" w:rsidR="00BA233A" w:rsidRPr="006E3427" w:rsidRDefault="00BA233A" w:rsidP="00BA233A">
      <w:pPr>
        <w:spacing w:after="0"/>
        <w:rPr>
          <w:rFonts w:asciiTheme="majorHAnsi" w:eastAsia="Calibri" w:hAnsiTheme="majorHAnsi" w:cstheme="majorHAnsi"/>
        </w:rPr>
      </w:pPr>
    </w:p>
    <w:p w14:paraId="27E7117C" w14:textId="77777777" w:rsidR="00BA233A" w:rsidRPr="006E3427" w:rsidRDefault="00BA233A" w:rsidP="00BA233A">
      <w:pPr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3A5A4B79" wp14:editId="37B86404">
            <wp:extent cx="4498464" cy="5569527"/>
            <wp:effectExtent l="0" t="0" r="0" b="0"/>
            <wp:docPr id="3150274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27436" name="Slika 3150274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917" cy="557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69836" w14:textId="77777777" w:rsidR="00BA233A" w:rsidRPr="006E3427" w:rsidRDefault="00BA233A" w:rsidP="00BA233A">
      <w:pPr>
        <w:spacing w:after="0"/>
        <w:ind w:left="709"/>
        <w:jc w:val="center"/>
        <w:rPr>
          <w:rFonts w:asciiTheme="majorHAnsi" w:hAnsiTheme="majorHAnsi" w:cstheme="majorHAnsi"/>
          <w:sz w:val="20"/>
          <w:szCs w:val="20"/>
        </w:rPr>
      </w:pPr>
      <w:r w:rsidRPr="006E3427">
        <w:rPr>
          <w:rFonts w:asciiTheme="majorHAnsi" w:hAnsiTheme="majorHAnsi" w:cstheme="majorHAnsi"/>
          <w:sz w:val="20"/>
          <w:szCs w:val="20"/>
        </w:rPr>
        <w:t xml:space="preserve">Autor: </w:t>
      </w:r>
      <w:proofErr w:type="spellStart"/>
      <w:r>
        <w:rPr>
          <w:rFonts w:asciiTheme="majorHAnsi" w:hAnsiTheme="majorHAnsi" w:cstheme="majorHAnsi"/>
          <w:sz w:val="20"/>
          <w:szCs w:val="20"/>
        </w:rPr>
        <w:t>Geoland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d.o.o.</w:t>
      </w:r>
    </w:p>
    <w:p w14:paraId="6F73286E" w14:textId="77777777" w:rsidR="00BA233A" w:rsidRPr="00E5072F" w:rsidRDefault="00BA233A" w:rsidP="00C27DD4">
      <w:pPr>
        <w:jc w:val="both"/>
        <w:rPr>
          <w:rFonts w:asciiTheme="majorHAnsi" w:hAnsiTheme="majorHAnsi" w:cstheme="majorHAnsi"/>
        </w:rPr>
      </w:pPr>
    </w:p>
    <w:p w14:paraId="4C54A318" w14:textId="1C85A42D" w:rsidR="009351B4" w:rsidRDefault="009E2B81" w:rsidP="00DC52CE">
      <w:pPr>
        <w:pStyle w:val="Naslov2"/>
      </w:pPr>
      <w:bookmarkStart w:id="14" w:name="_Toc212823171"/>
      <w:r w:rsidRPr="009E2B81">
        <w:lastRenderedPageBreak/>
        <w:t xml:space="preserve">Strateški okvir LRS </w:t>
      </w:r>
      <w:r>
        <w:t xml:space="preserve">SAVA </w:t>
      </w:r>
      <w:r w:rsidRPr="009E2B81">
        <w:t xml:space="preserve"> 2014.-2020 . s prijelaznim razdobljem 2021.-2022., 6. izmjena usvojena 202</w:t>
      </w:r>
      <w:r w:rsidR="00864873">
        <w:t>2</w:t>
      </w:r>
      <w:r w:rsidRPr="009E2B81">
        <w:t>. godine</w:t>
      </w:r>
      <w:bookmarkEnd w:id="14"/>
    </w:p>
    <w:p w14:paraId="1D695EDD" w14:textId="77777777" w:rsidR="00E63763" w:rsidRPr="00E63763" w:rsidRDefault="00E63763" w:rsidP="00E63763"/>
    <w:tbl>
      <w:tblPr>
        <w:tblStyle w:val="Svijetlatablicareetke-isticanje1"/>
        <w:tblW w:w="9054" w:type="dxa"/>
        <w:tblLook w:val="04A0" w:firstRow="1" w:lastRow="0" w:firstColumn="1" w:lastColumn="0" w:noHBand="0" w:noVBand="1"/>
      </w:tblPr>
      <w:tblGrid>
        <w:gridCol w:w="2532"/>
        <w:gridCol w:w="2713"/>
        <w:gridCol w:w="3809"/>
      </w:tblGrid>
      <w:tr w:rsidR="00AA19BE" w:rsidRPr="006F2405" w14:paraId="2520B8F4" w14:textId="77777777" w:rsidTr="00210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shd w:val="clear" w:color="auto" w:fill="E2EFD9" w:themeFill="accent6" w:themeFillTint="33"/>
            <w:hideMark/>
          </w:tcPr>
          <w:p w14:paraId="0C12D4FC" w14:textId="77777777" w:rsidR="00AA19BE" w:rsidRPr="00AA19BE" w:rsidRDefault="00AA19BE" w:rsidP="00F85F28">
            <w:pPr>
              <w:spacing w:before="0"/>
              <w:rPr>
                <w:rFonts w:asciiTheme="majorHAnsi" w:eastAsia="Times New Roman" w:hAnsiTheme="majorHAnsi" w:cstheme="majorHAnsi"/>
                <w:b w:val="0"/>
                <w:color w:val="000000"/>
                <w:sz w:val="22"/>
                <w:szCs w:val="22"/>
                <w:lang w:eastAsia="hr-HR"/>
              </w:rPr>
            </w:pP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t>Strateški ciljevi (SC)</w:t>
            </w: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br/>
              <w:t>LAG-a u 2014.-2020.</w:t>
            </w:r>
          </w:p>
        </w:tc>
        <w:tc>
          <w:tcPr>
            <w:tcW w:w="2713" w:type="dxa"/>
            <w:shd w:val="clear" w:color="auto" w:fill="E2EFD9" w:themeFill="accent6" w:themeFillTint="33"/>
            <w:hideMark/>
          </w:tcPr>
          <w:p w14:paraId="498185BD" w14:textId="77777777" w:rsidR="00AA19BE" w:rsidRPr="00AA19BE" w:rsidRDefault="00AA19BE" w:rsidP="00F85F2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color w:val="000000"/>
                <w:sz w:val="22"/>
                <w:szCs w:val="22"/>
                <w:lang w:eastAsia="hr-HR"/>
              </w:rPr>
            </w:pP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t>Prioritetne Mjere (M)</w:t>
            </w: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br/>
              <w:t>2014.-2020. za ostvarenje</w:t>
            </w: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br/>
              <w:t>strateških ciljeva</w:t>
            </w:r>
          </w:p>
        </w:tc>
        <w:tc>
          <w:tcPr>
            <w:tcW w:w="3809" w:type="dxa"/>
            <w:shd w:val="clear" w:color="auto" w:fill="E2EFD9" w:themeFill="accent6" w:themeFillTint="33"/>
            <w:hideMark/>
          </w:tcPr>
          <w:p w14:paraId="08F4745D" w14:textId="77777777" w:rsidR="00AA19BE" w:rsidRPr="00AA19BE" w:rsidRDefault="00AA19BE" w:rsidP="00F85F2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color w:val="000000"/>
                <w:sz w:val="22"/>
                <w:szCs w:val="22"/>
                <w:lang w:eastAsia="hr-HR"/>
              </w:rPr>
            </w:pP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t xml:space="preserve">Prioritetni tipovi operacija (TO) 2014.-2020, za realizaciju </w:t>
            </w: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br/>
              <w:t>mjera kojima se ostvaruju strateški ciljevi</w:t>
            </w:r>
          </w:p>
        </w:tc>
      </w:tr>
      <w:tr w:rsidR="00AA19BE" w:rsidRPr="00FA4140" w14:paraId="002801AA" w14:textId="77777777" w:rsidTr="00210E16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vMerge w:val="restart"/>
            <w:hideMark/>
          </w:tcPr>
          <w:p w14:paraId="73641FB6" w14:textId="77777777" w:rsidR="00AA19BE" w:rsidRPr="00AA19BE" w:rsidRDefault="00AA19BE" w:rsidP="00F85F28">
            <w:pPr>
              <w:spacing w:before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</w:pP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t xml:space="preserve">SC1 Razvoj </w:t>
            </w:r>
            <w:proofErr w:type="spellStart"/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t>konkuretne</w:t>
            </w:r>
            <w:proofErr w:type="spellEnd"/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br/>
              <w:t xml:space="preserve"> poljoprivrede na</w:t>
            </w: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br/>
              <w:t xml:space="preserve"> području LAG-a </w:t>
            </w:r>
            <w:r w:rsidRPr="00AA19BE">
              <w:rPr>
                <w:rFonts w:asciiTheme="majorHAnsi" w:hAnsiTheme="majorHAnsi" w:cstheme="majorHAnsi"/>
                <w:sz w:val="24"/>
                <w:szCs w:val="24"/>
              </w:rPr>
              <w:t>SAVA</w:t>
            </w: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t xml:space="preserve"> i poticanje razvoja specifičnih oblika turizma</w:t>
            </w:r>
          </w:p>
        </w:tc>
        <w:tc>
          <w:tcPr>
            <w:tcW w:w="2713" w:type="dxa"/>
            <w:vMerge w:val="restart"/>
            <w:hideMark/>
          </w:tcPr>
          <w:p w14:paraId="6321765C" w14:textId="77777777" w:rsidR="00AA19BE" w:rsidRPr="00AA19BE" w:rsidRDefault="00AA19BE" w:rsidP="00F85F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</w:pP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t>M 1.1 Potpora razvoju</w:t>
            </w: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br/>
              <w:t>poljoprivrednih</w:t>
            </w: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br/>
              <w:t>gospodarstava</w:t>
            </w:r>
          </w:p>
        </w:tc>
        <w:tc>
          <w:tcPr>
            <w:tcW w:w="3809" w:type="dxa"/>
            <w:hideMark/>
          </w:tcPr>
          <w:p w14:paraId="15C6A155" w14:textId="77777777" w:rsidR="00AA19BE" w:rsidRPr="00AA19BE" w:rsidRDefault="00AA19BE" w:rsidP="00F85F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</w:pP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t>TO 1.1.1 Potpora razvoju malih poljoprivrednih gospodarstava</w:t>
            </w:r>
          </w:p>
        </w:tc>
      </w:tr>
      <w:tr w:rsidR="00AA19BE" w:rsidRPr="00FA4140" w14:paraId="38B7DF31" w14:textId="77777777" w:rsidTr="00210E16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vMerge/>
            <w:hideMark/>
          </w:tcPr>
          <w:p w14:paraId="19D48AB0" w14:textId="77777777" w:rsidR="00AA19BE" w:rsidRPr="00AA19BE" w:rsidRDefault="00AA19BE" w:rsidP="00F85F28">
            <w:pPr>
              <w:spacing w:before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2713" w:type="dxa"/>
            <w:vMerge/>
            <w:hideMark/>
          </w:tcPr>
          <w:p w14:paraId="09D930B3" w14:textId="77777777" w:rsidR="00AA19BE" w:rsidRPr="00AA19BE" w:rsidRDefault="00AA19BE" w:rsidP="00F85F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3809" w:type="dxa"/>
            <w:hideMark/>
          </w:tcPr>
          <w:p w14:paraId="6C2DEBB1" w14:textId="77777777" w:rsidR="00AA19BE" w:rsidRPr="00AA19BE" w:rsidRDefault="00AA19BE" w:rsidP="00F85F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</w:pP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t>TO 1.1.2 Potpora razvoju i modernizaciji poljoprivrednih</w:t>
            </w: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br/>
              <w:t>gospodarstava</w:t>
            </w:r>
          </w:p>
        </w:tc>
      </w:tr>
      <w:tr w:rsidR="00AA19BE" w:rsidRPr="00FA4140" w14:paraId="26D1D2BB" w14:textId="77777777" w:rsidTr="00210E16">
        <w:trPr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vMerge/>
            <w:hideMark/>
          </w:tcPr>
          <w:p w14:paraId="00FA2A74" w14:textId="77777777" w:rsidR="00AA19BE" w:rsidRPr="00AA19BE" w:rsidRDefault="00AA19BE" w:rsidP="00F85F28">
            <w:pPr>
              <w:spacing w:before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2713" w:type="dxa"/>
            <w:hideMark/>
          </w:tcPr>
          <w:p w14:paraId="183B5AD7" w14:textId="77777777" w:rsidR="00AA19BE" w:rsidRPr="00AA19BE" w:rsidRDefault="00AA19BE" w:rsidP="00F85F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</w:pP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t>M 1.2. Potpora razvoju</w:t>
            </w: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br/>
              <w:t>diverzifikacije djelatnosti i</w:t>
            </w: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br/>
              <w:t>specifičnih oblika turizma u</w:t>
            </w: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br/>
              <w:t>ruralnim područjima</w:t>
            </w: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br/>
              <w:t>LAG-a</w:t>
            </w:r>
          </w:p>
        </w:tc>
        <w:tc>
          <w:tcPr>
            <w:tcW w:w="3809" w:type="dxa"/>
            <w:hideMark/>
          </w:tcPr>
          <w:p w14:paraId="3818B483" w14:textId="77777777" w:rsidR="00AA19BE" w:rsidRPr="00AA19BE" w:rsidRDefault="00AA19BE" w:rsidP="00F85F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</w:pP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t>TO 1.2.1. Potpora stvaranju nepoljoprivrednih djelatnosti i turizma</w:t>
            </w: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br/>
            </w:r>
          </w:p>
        </w:tc>
      </w:tr>
      <w:tr w:rsidR="00AA19BE" w:rsidRPr="00FA4140" w14:paraId="122C385C" w14:textId="77777777" w:rsidTr="00210E16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vMerge w:val="restart"/>
            <w:hideMark/>
          </w:tcPr>
          <w:p w14:paraId="5A8E1684" w14:textId="77777777" w:rsidR="00AA19BE" w:rsidRPr="00AA19BE" w:rsidRDefault="00AA19BE" w:rsidP="00F85F28">
            <w:pPr>
              <w:spacing w:before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</w:pP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t xml:space="preserve">SC2 Razvoj kvalitete života revitalizacijom opće društvene potporne infrastrukture te suradnje i umrežavanja u svrhu </w:t>
            </w:r>
            <w:proofErr w:type="spellStart"/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t>sinergijskig</w:t>
            </w:r>
            <w:proofErr w:type="spellEnd"/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t xml:space="preserve"> djelovanja razvojnih dionika ruralnog područja LAG-a</w:t>
            </w:r>
          </w:p>
        </w:tc>
        <w:tc>
          <w:tcPr>
            <w:tcW w:w="2713" w:type="dxa"/>
            <w:vMerge w:val="restart"/>
            <w:hideMark/>
          </w:tcPr>
          <w:p w14:paraId="1802A3D7" w14:textId="77777777" w:rsidR="00AA19BE" w:rsidRPr="00AA19BE" w:rsidRDefault="00AA19BE" w:rsidP="00F85F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</w:pP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t xml:space="preserve">M 2.1 Potpora razvoju javne </w:t>
            </w: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br/>
              <w:t>društvene infrastrukture</w:t>
            </w:r>
          </w:p>
        </w:tc>
        <w:tc>
          <w:tcPr>
            <w:tcW w:w="3809" w:type="dxa"/>
            <w:vMerge w:val="restart"/>
            <w:hideMark/>
          </w:tcPr>
          <w:p w14:paraId="3854396F" w14:textId="77777777" w:rsidR="00AA19BE" w:rsidRPr="00AA19BE" w:rsidRDefault="00AA19BE" w:rsidP="00F85F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</w:pP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t xml:space="preserve">TO 2.1.1 Potpora razvoju opće društvene infrastrukture te poboljšanju uvjeta života na ruralnom prostoru </w:t>
            </w:r>
          </w:p>
        </w:tc>
      </w:tr>
      <w:tr w:rsidR="00AA19BE" w:rsidRPr="00FA4140" w14:paraId="64C11B69" w14:textId="77777777" w:rsidTr="00210E16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vMerge/>
            <w:hideMark/>
          </w:tcPr>
          <w:p w14:paraId="457ADD84" w14:textId="77777777" w:rsidR="00AA19BE" w:rsidRPr="00AA19BE" w:rsidRDefault="00AA19BE" w:rsidP="00F85F28">
            <w:pPr>
              <w:spacing w:before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2713" w:type="dxa"/>
            <w:vMerge/>
            <w:hideMark/>
          </w:tcPr>
          <w:p w14:paraId="1590DE5B" w14:textId="77777777" w:rsidR="00AA19BE" w:rsidRPr="00AA19BE" w:rsidRDefault="00AA19BE" w:rsidP="00F85F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3809" w:type="dxa"/>
            <w:vMerge/>
            <w:hideMark/>
          </w:tcPr>
          <w:p w14:paraId="71AF14E2" w14:textId="77777777" w:rsidR="00AA19BE" w:rsidRPr="00AA19BE" w:rsidRDefault="00AA19BE" w:rsidP="00F85F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</w:pPr>
          </w:p>
        </w:tc>
      </w:tr>
      <w:tr w:rsidR="00AA19BE" w:rsidRPr="00FA4140" w14:paraId="790D9CA1" w14:textId="77777777" w:rsidTr="00210E16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vMerge/>
            <w:hideMark/>
          </w:tcPr>
          <w:p w14:paraId="5F4567FB" w14:textId="77777777" w:rsidR="00AA19BE" w:rsidRPr="00AA19BE" w:rsidRDefault="00AA19BE" w:rsidP="00F85F28">
            <w:pPr>
              <w:spacing w:before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2713" w:type="dxa"/>
            <w:vMerge w:val="restart"/>
            <w:hideMark/>
          </w:tcPr>
          <w:p w14:paraId="04B2E40D" w14:textId="77777777" w:rsidR="00AA19BE" w:rsidRPr="00AA19BE" w:rsidRDefault="00AA19BE" w:rsidP="00F85F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</w:pP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t>M 2.2 Potpora aktivnostima</w:t>
            </w: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br/>
              <w:t xml:space="preserve">suradnje i umrežavanja </w:t>
            </w: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br/>
              <w:t>unutar i izvan područja LAG-a</w:t>
            </w:r>
          </w:p>
        </w:tc>
        <w:tc>
          <w:tcPr>
            <w:tcW w:w="3809" w:type="dxa"/>
            <w:hideMark/>
          </w:tcPr>
          <w:p w14:paraId="5DE36E5C" w14:textId="77777777" w:rsidR="00AA19BE" w:rsidRPr="00AA19BE" w:rsidRDefault="00AA19BE" w:rsidP="00F85F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</w:pP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t>TO 2.2.1 Priprema i provedba aktivnosti</w:t>
            </w: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br/>
              <w:t>suradnje LAG-a</w:t>
            </w:r>
          </w:p>
        </w:tc>
      </w:tr>
      <w:tr w:rsidR="00AA19BE" w:rsidRPr="00FA4140" w14:paraId="1784A90C" w14:textId="77777777" w:rsidTr="00210E1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vMerge/>
            <w:hideMark/>
          </w:tcPr>
          <w:p w14:paraId="1A3ECB32" w14:textId="77777777" w:rsidR="00AA19BE" w:rsidRPr="00AA19BE" w:rsidRDefault="00AA19BE" w:rsidP="00F85F28">
            <w:pPr>
              <w:spacing w:before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2713" w:type="dxa"/>
            <w:vMerge/>
            <w:hideMark/>
          </w:tcPr>
          <w:p w14:paraId="7605F6A2" w14:textId="77777777" w:rsidR="00AA19BE" w:rsidRPr="00AA19BE" w:rsidRDefault="00AA19BE" w:rsidP="00F85F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3809" w:type="dxa"/>
            <w:hideMark/>
          </w:tcPr>
          <w:p w14:paraId="5DD38AE7" w14:textId="77777777" w:rsidR="00AA19BE" w:rsidRPr="00AA19BE" w:rsidRDefault="00AA19BE" w:rsidP="00F85F2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</w:pP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t>TO 2.2.2  Jačanje kapaciteta LAG-a i</w:t>
            </w: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br/>
              <w:t>lokalnih dionika za provedbu LRS s</w:t>
            </w:r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br/>
              <w:t xml:space="preserve">provedbom operacija unutar </w:t>
            </w:r>
            <w:proofErr w:type="spellStart"/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t>CLLD</w:t>
            </w:r>
            <w:proofErr w:type="spellEnd"/>
            <w:r w:rsidRPr="00AA19B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hr-HR"/>
              </w:rPr>
              <w:br/>
              <w:t>strategije</w:t>
            </w:r>
          </w:p>
        </w:tc>
      </w:tr>
    </w:tbl>
    <w:p w14:paraId="76C09EEC" w14:textId="089BC92B" w:rsidR="00DE2513" w:rsidRPr="0050740D" w:rsidRDefault="00DE2513" w:rsidP="00DE2513">
      <w:pPr>
        <w:pStyle w:val="Bezproreda"/>
        <w:spacing w:line="360" w:lineRule="auto"/>
        <w:ind w:left="720"/>
        <w:jc w:val="center"/>
        <w:rPr>
          <w:rFonts w:ascii="Calibri Light" w:hAnsi="Calibri Light" w:cs="Calibri Light"/>
          <w:i/>
          <w:iCs/>
          <w:color w:val="233F60"/>
          <w:sz w:val="20"/>
          <w:szCs w:val="20"/>
        </w:rPr>
      </w:pPr>
      <w:r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 xml:space="preserve">Izvor: </w:t>
      </w:r>
      <w:r>
        <w:rPr>
          <w:rFonts w:ascii="Calibri Light" w:hAnsi="Calibri Light" w:cs="Calibri Light"/>
          <w:i/>
          <w:iCs/>
          <w:color w:val="233F60"/>
          <w:sz w:val="20"/>
          <w:szCs w:val="20"/>
        </w:rPr>
        <w:t>LRS LAG-a SAVA 2014.-2020.</w:t>
      </w:r>
    </w:p>
    <w:p w14:paraId="64E5FDF1" w14:textId="3CC884B5" w:rsidR="00864873" w:rsidRPr="00864873" w:rsidRDefault="00864873" w:rsidP="00864873"/>
    <w:p w14:paraId="77D1BC03" w14:textId="659A38D4" w:rsidR="00DE2513" w:rsidRPr="0050740D" w:rsidRDefault="00E63763" w:rsidP="00DE2513">
      <w:pPr>
        <w:pStyle w:val="Naslov3"/>
      </w:pPr>
      <w:bookmarkStart w:id="15" w:name="_Toc212823172"/>
      <w:r>
        <w:t xml:space="preserve">Tablica 1 : </w:t>
      </w:r>
      <w:r w:rsidR="00DE2513" w:rsidRPr="0050740D">
        <w:t>Popis izmjena LRS unutar perioda evaluacije</w:t>
      </w:r>
      <w:bookmarkEnd w:id="15"/>
    </w:p>
    <w:tbl>
      <w:tblPr>
        <w:tblStyle w:val="Svijetlatablicareetke1-isticanje52"/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47"/>
        <w:gridCol w:w="1700"/>
        <w:gridCol w:w="4394"/>
      </w:tblGrid>
      <w:tr w:rsidR="00DE2513" w:rsidRPr="0050740D" w14:paraId="15A87B82" w14:textId="77777777" w:rsidTr="00210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EFD9" w:themeFill="accent6" w:themeFillTint="33"/>
          </w:tcPr>
          <w:p w14:paraId="4426A837" w14:textId="77777777" w:rsidR="00DE2513" w:rsidRPr="0050740D" w:rsidRDefault="00DE2513" w:rsidP="00F85F28">
            <w:pPr>
              <w:pStyle w:val="Bezproreda"/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0740D">
              <w:rPr>
                <w:rFonts w:ascii="Calibri Light" w:hAnsi="Calibri Light" w:cs="Calibri Light"/>
                <w:sz w:val="24"/>
                <w:szCs w:val="24"/>
              </w:rPr>
              <w:t>Verzija LRS</w:t>
            </w:r>
          </w:p>
        </w:tc>
        <w:tc>
          <w:tcPr>
            <w:tcW w:w="1700" w:type="dxa"/>
            <w:shd w:val="clear" w:color="auto" w:fill="E2EFD9" w:themeFill="accent6" w:themeFillTint="33"/>
          </w:tcPr>
          <w:p w14:paraId="1A1019D4" w14:textId="77777777" w:rsidR="00DE2513" w:rsidRPr="0050740D" w:rsidRDefault="00DE2513" w:rsidP="00F85F28">
            <w:pPr>
              <w:pStyle w:val="Bezproreda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50740D">
              <w:rPr>
                <w:rFonts w:ascii="Calibri Light" w:hAnsi="Calibri Light" w:cs="Calibri Light"/>
                <w:sz w:val="24"/>
                <w:szCs w:val="24"/>
              </w:rPr>
              <w:t>Tip izmjene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76BB974E" w14:textId="77777777" w:rsidR="00DE2513" w:rsidRPr="0050740D" w:rsidRDefault="00DE2513" w:rsidP="00F85F28">
            <w:pPr>
              <w:pStyle w:val="Bezproreda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50740D">
              <w:rPr>
                <w:rFonts w:ascii="Calibri Light" w:hAnsi="Calibri Light" w:cs="Calibri Light"/>
                <w:sz w:val="24"/>
                <w:szCs w:val="24"/>
              </w:rPr>
              <w:t>Period provedbe u evaluacijskom razdoblju</w:t>
            </w:r>
          </w:p>
        </w:tc>
      </w:tr>
      <w:tr w:rsidR="00DE2513" w:rsidRPr="0050740D" w14:paraId="3E2B079A" w14:textId="77777777" w:rsidTr="00F85F28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B96DA8D" w14:textId="77777777" w:rsidR="00DE2513" w:rsidRPr="0050740D" w:rsidRDefault="00DE2513" w:rsidP="00F85F28">
            <w:pPr>
              <w:pStyle w:val="Bezproreda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50740D">
              <w:rPr>
                <w:rFonts w:ascii="Calibri Light" w:hAnsi="Calibri Light" w:cs="Calibri Light"/>
              </w:rPr>
              <w:t>Originalan dokument</w:t>
            </w:r>
          </w:p>
        </w:tc>
        <w:tc>
          <w:tcPr>
            <w:tcW w:w="1700" w:type="dxa"/>
          </w:tcPr>
          <w:p w14:paraId="654B597E" w14:textId="77777777" w:rsidR="00DE2513" w:rsidRPr="0050740D" w:rsidRDefault="00DE2513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50740D">
              <w:rPr>
                <w:rFonts w:ascii="Calibri Light" w:hAnsi="Calibri Light" w:cs="Calibri Light"/>
              </w:rPr>
              <w:t>-</w:t>
            </w:r>
          </w:p>
        </w:tc>
        <w:tc>
          <w:tcPr>
            <w:tcW w:w="4394" w:type="dxa"/>
          </w:tcPr>
          <w:p w14:paraId="16B523CC" w14:textId="77777777" w:rsidR="00DE2513" w:rsidRPr="00444F4A" w:rsidRDefault="00DE2513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444F4A">
              <w:rPr>
                <w:rFonts w:ascii="Calibri Light" w:hAnsi="Calibri Light" w:cs="Calibri Light"/>
              </w:rPr>
              <w:t>3.2016.- 18.12.2017.</w:t>
            </w:r>
          </w:p>
        </w:tc>
      </w:tr>
      <w:tr w:rsidR="00DE2513" w:rsidRPr="0050740D" w14:paraId="69288A66" w14:textId="77777777" w:rsidTr="00F85F28">
        <w:trPr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3CF6528" w14:textId="77777777" w:rsidR="00DE2513" w:rsidRPr="0050740D" w:rsidRDefault="00DE2513" w:rsidP="00F85F28">
            <w:pPr>
              <w:pStyle w:val="Bezproreda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50740D">
              <w:rPr>
                <w:rFonts w:ascii="Calibri Light" w:hAnsi="Calibri Light" w:cs="Calibri Light"/>
              </w:rPr>
              <w:t>1 izmjena</w:t>
            </w:r>
          </w:p>
        </w:tc>
        <w:tc>
          <w:tcPr>
            <w:tcW w:w="1700" w:type="dxa"/>
          </w:tcPr>
          <w:p w14:paraId="16686A94" w14:textId="77777777" w:rsidR="00DE2513" w:rsidRPr="0050740D" w:rsidRDefault="00DE2513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50740D">
              <w:rPr>
                <w:rFonts w:ascii="Calibri Light" w:hAnsi="Calibri Light" w:cs="Calibri Light"/>
              </w:rPr>
              <w:t>Izmjena</w:t>
            </w:r>
          </w:p>
        </w:tc>
        <w:tc>
          <w:tcPr>
            <w:tcW w:w="4394" w:type="dxa"/>
          </w:tcPr>
          <w:p w14:paraId="3ECD6856" w14:textId="77777777" w:rsidR="00DE2513" w:rsidRPr="00444F4A" w:rsidRDefault="00DE2513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444F4A">
              <w:rPr>
                <w:rFonts w:ascii="Calibri Light" w:hAnsi="Calibri Light" w:cs="Calibri Light"/>
              </w:rPr>
              <w:t>18.12.2017 – 16.5.2018..</w:t>
            </w:r>
          </w:p>
        </w:tc>
      </w:tr>
      <w:tr w:rsidR="00DE2513" w:rsidRPr="0050740D" w14:paraId="43B0230B" w14:textId="77777777" w:rsidTr="00F85F28">
        <w:trPr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3525F1E" w14:textId="77777777" w:rsidR="00DE2513" w:rsidRPr="0050740D" w:rsidRDefault="00DE2513" w:rsidP="00F85F28">
            <w:pPr>
              <w:pStyle w:val="Bezproreda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50740D">
              <w:rPr>
                <w:rFonts w:ascii="Calibri Light" w:hAnsi="Calibri Light" w:cs="Calibri Light"/>
              </w:rPr>
              <w:t>2 izmjena</w:t>
            </w:r>
          </w:p>
        </w:tc>
        <w:tc>
          <w:tcPr>
            <w:tcW w:w="1700" w:type="dxa"/>
          </w:tcPr>
          <w:p w14:paraId="1A17E99A" w14:textId="77777777" w:rsidR="00DE2513" w:rsidRPr="0050740D" w:rsidRDefault="00DE2513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50740D">
              <w:rPr>
                <w:rFonts w:ascii="Calibri Light" w:hAnsi="Calibri Light" w:cs="Calibri Light"/>
              </w:rPr>
              <w:t>Izmjena</w:t>
            </w:r>
          </w:p>
        </w:tc>
        <w:tc>
          <w:tcPr>
            <w:tcW w:w="4394" w:type="dxa"/>
          </w:tcPr>
          <w:p w14:paraId="22697B69" w14:textId="77777777" w:rsidR="00DE2513" w:rsidRPr="00444F4A" w:rsidRDefault="00DE2513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444F4A">
              <w:rPr>
                <w:rFonts w:ascii="Calibri Light" w:hAnsi="Calibri Light" w:cs="Calibri Light"/>
              </w:rPr>
              <w:t>16.5.2018.-5.7.2019.</w:t>
            </w:r>
          </w:p>
        </w:tc>
      </w:tr>
      <w:tr w:rsidR="00DE2513" w:rsidRPr="0050740D" w14:paraId="51E0EA47" w14:textId="77777777" w:rsidTr="00F85F28">
        <w:trPr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73D23CD" w14:textId="77777777" w:rsidR="00DE2513" w:rsidRPr="0050740D" w:rsidRDefault="00DE2513" w:rsidP="00F85F28">
            <w:pPr>
              <w:pStyle w:val="Bezproreda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50740D">
              <w:rPr>
                <w:rFonts w:ascii="Calibri Light" w:hAnsi="Calibri Light" w:cs="Calibri Light"/>
              </w:rPr>
              <w:t>3 izmjena</w:t>
            </w:r>
          </w:p>
        </w:tc>
        <w:tc>
          <w:tcPr>
            <w:tcW w:w="1700" w:type="dxa"/>
          </w:tcPr>
          <w:p w14:paraId="5F936243" w14:textId="77777777" w:rsidR="00DE2513" w:rsidRPr="0050740D" w:rsidRDefault="00DE2513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50740D">
              <w:rPr>
                <w:rFonts w:ascii="Calibri Light" w:hAnsi="Calibri Light" w:cs="Calibri Light"/>
              </w:rPr>
              <w:t>Izmjena</w:t>
            </w:r>
          </w:p>
        </w:tc>
        <w:tc>
          <w:tcPr>
            <w:tcW w:w="4394" w:type="dxa"/>
          </w:tcPr>
          <w:p w14:paraId="342D88AB" w14:textId="77777777" w:rsidR="00DE2513" w:rsidRPr="00444F4A" w:rsidRDefault="00DE2513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444F4A">
              <w:rPr>
                <w:rFonts w:ascii="Calibri Light" w:hAnsi="Calibri Light" w:cs="Calibri Light"/>
              </w:rPr>
              <w:t>5.7.2019.-2.9.2020</w:t>
            </w:r>
          </w:p>
        </w:tc>
      </w:tr>
      <w:tr w:rsidR="00DE2513" w:rsidRPr="0050740D" w14:paraId="1D54247F" w14:textId="77777777" w:rsidTr="00F85F28">
        <w:trPr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887DAF" w14:textId="77777777" w:rsidR="00DE2513" w:rsidRPr="0050740D" w:rsidRDefault="00DE2513" w:rsidP="00F85F28">
            <w:pPr>
              <w:pStyle w:val="Bezproreda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50740D">
              <w:rPr>
                <w:rFonts w:ascii="Calibri Light" w:hAnsi="Calibri Light" w:cs="Calibri Light"/>
              </w:rPr>
              <w:t>4 izmjena</w:t>
            </w:r>
          </w:p>
        </w:tc>
        <w:tc>
          <w:tcPr>
            <w:tcW w:w="1700" w:type="dxa"/>
          </w:tcPr>
          <w:p w14:paraId="5B4A7EE2" w14:textId="77777777" w:rsidR="00DE2513" w:rsidRPr="0050740D" w:rsidRDefault="00DE2513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50740D">
              <w:rPr>
                <w:rFonts w:ascii="Calibri Light" w:hAnsi="Calibri Light" w:cs="Calibri Light"/>
              </w:rPr>
              <w:t>Izmjena</w:t>
            </w:r>
          </w:p>
        </w:tc>
        <w:tc>
          <w:tcPr>
            <w:tcW w:w="4394" w:type="dxa"/>
          </w:tcPr>
          <w:p w14:paraId="53F29BE9" w14:textId="77777777" w:rsidR="00DE2513" w:rsidRPr="00444F4A" w:rsidRDefault="00DE2513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444F4A">
              <w:rPr>
                <w:rFonts w:ascii="Calibri Light" w:hAnsi="Calibri Light" w:cs="Calibri Light"/>
              </w:rPr>
              <w:t>2.9.2020.- 2.8.2021.</w:t>
            </w:r>
          </w:p>
        </w:tc>
      </w:tr>
      <w:tr w:rsidR="00DE2513" w:rsidRPr="0050740D" w14:paraId="13EE13B2" w14:textId="77777777" w:rsidTr="00F85F28">
        <w:trPr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008D05D" w14:textId="77777777" w:rsidR="00DE2513" w:rsidRPr="0050740D" w:rsidRDefault="00DE2513" w:rsidP="00F85F28">
            <w:pPr>
              <w:pStyle w:val="Bezproreda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50740D">
              <w:rPr>
                <w:rFonts w:ascii="Calibri Light" w:hAnsi="Calibri Light" w:cs="Calibri Light"/>
              </w:rPr>
              <w:t>5 izmjena</w:t>
            </w:r>
          </w:p>
        </w:tc>
        <w:tc>
          <w:tcPr>
            <w:tcW w:w="1700" w:type="dxa"/>
          </w:tcPr>
          <w:p w14:paraId="2D2E4A6A" w14:textId="77777777" w:rsidR="00DE2513" w:rsidRPr="0050740D" w:rsidRDefault="00DE2513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50740D">
              <w:rPr>
                <w:rFonts w:ascii="Calibri Light" w:hAnsi="Calibri Light" w:cs="Calibri Light"/>
              </w:rPr>
              <w:t>Izmjena</w:t>
            </w:r>
          </w:p>
        </w:tc>
        <w:tc>
          <w:tcPr>
            <w:tcW w:w="4394" w:type="dxa"/>
          </w:tcPr>
          <w:p w14:paraId="63E99B0C" w14:textId="77777777" w:rsidR="00DE2513" w:rsidRPr="00444F4A" w:rsidRDefault="00DE2513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444F4A">
              <w:rPr>
                <w:rFonts w:ascii="Calibri Light" w:hAnsi="Calibri Light" w:cs="Calibri Light"/>
              </w:rPr>
              <w:t xml:space="preserve">2.8.2021.- </w:t>
            </w:r>
            <w:r>
              <w:rPr>
                <w:rFonts w:ascii="Calibri Light" w:hAnsi="Calibri Light" w:cs="Calibri Light"/>
              </w:rPr>
              <w:t>4.7.2022.</w:t>
            </w:r>
          </w:p>
        </w:tc>
      </w:tr>
      <w:tr w:rsidR="00DE2513" w:rsidRPr="0050740D" w14:paraId="34D76997" w14:textId="77777777" w:rsidTr="00F85F28">
        <w:trPr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F766291" w14:textId="77777777" w:rsidR="00DE2513" w:rsidRPr="0050740D" w:rsidRDefault="00DE2513" w:rsidP="00F85F28">
            <w:pPr>
              <w:pStyle w:val="Bezproreda"/>
              <w:spacing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 izmjena</w:t>
            </w:r>
          </w:p>
        </w:tc>
        <w:tc>
          <w:tcPr>
            <w:tcW w:w="1700" w:type="dxa"/>
          </w:tcPr>
          <w:p w14:paraId="6BB0126A" w14:textId="77777777" w:rsidR="00DE2513" w:rsidRPr="0050740D" w:rsidRDefault="00DE2513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Izmjena</w:t>
            </w:r>
          </w:p>
        </w:tc>
        <w:tc>
          <w:tcPr>
            <w:tcW w:w="4394" w:type="dxa"/>
          </w:tcPr>
          <w:p w14:paraId="5CBF601F" w14:textId="77777777" w:rsidR="00DE2513" w:rsidRPr="00444F4A" w:rsidRDefault="00DE2513" w:rsidP="00F85F28">
            <w:pPr>
              <w:pStyle w:val="Bezprored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4.7.2022. </w:t>
            </w:r>
          </w:p>
        </w:tc>
      </w:tr>
    </w:tbl>
    <w:p w14:paraId="46FAA803" w14:textId="625F2C5F" w:rsidR="00DE2513" w:rsidRPr="0050740D" w:rsidRDefault="00DE2513" w:rsidP="00DE2513">
      <w:pPr>
        <w:pStyle w:val="Bezproreda"/>
        <w:spacing w:line="360" w:lineRule="auto"/>
        <w:ind w:left="720"/>
        <w:jc w:val="center"/>
        <w:rPr>
          <w:rFonts w:ascii="Calibri Light" w:hAnsi="Calibri Light" w:cs="Calibri Light"/>
          <w:i/>
          <w:iCs/>
          <w:color w:val="233F60"/>
          <w:sz w:val="20"/>
          <w:szCs w:val="20"/>
        </w:rPr>
      </w:pPr>
      <w:r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 xml:space="preserve">Izvor: Stručna služba LAG-a SAVA, </w:t>
      </w:r>
      <w:r w:rsidR="00240436">
        <w:rPr>
          <w:rFonts w:ascii="Calibri Light" w:hAnsi="Calibri Light" w:cs="Calibri Light"/>
          <w:i/>
          <w:iCs/>
          <w:color w:val="233F60"/>
          <w:sz w:val="20"/>
          <w:szCs w:val="20"/>
        </w:rPr>
        <w:t>studeni 2025</w:t>
      </w:r>
      <w:r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>.</w:t>
      </w:r>
    </w:p>
    <w:p w14:paraId="7433AFE6" w14:textId="77777777" w:rsidR="007C0B46" w:rsidRDefault="007C0B46" w:rsidP="00AA4C8E">
      <w:pPr>
        <w:pStyle w:val="Naslov3"/>
      </w:pPr>
      <w:bookmarkStart w:id="16" w:name="_Toc212823173"/>
    </w:p>
    <w:p w14:paraId="787878A8" w14:textId="77777777" w:rsidR="007C0B46" w:rsidRDefault="007C0B46" w:rsidP="00AA4C8E">
      <w:pPr>
        <w:pStyle w:val="Naslov3"/>
      </w:pPr>
    </w:p>
    <w:p w14:paraId="32321C26" w14:textId="77777777" w:rsidR="007C0B46" w:rsidRDefault="007C0B46" w:rsidP="00AA4C8E">
      <w:pPr>
        <w:pStyle w:val="Naslov3"/>
      </w:pPr>
    </w:p>
    <w:p w14:paraId="5D750C4F" w14:textId="40B9C7C8" w:rsidR="00562E24" w:rsidRPr="00651450" w:rsidRDefault="00E63763" w:rsidP="00AA4C8E">
      <w:pPr>
        <w:pStyle w:val="Naslov3"/>
      </w:pPr>
      <w:r>
        <w:t xml:space="preserve">Tablica 2: </w:t>
      </w:r>
      <w:r w:rsidR="009C0B89" w:rsidRPr="00651450">
        <w:t>Dodijeljena</w:t>
      </w:r>
      <w:r w:rsidR="00FE7D9A" w:rsidRPr="00651450">
        <w:t xml:space="preserve"> sredstva LAG-u SAVA unutar</w:t>
      </w:r>
      <w:r w:rsidR="00562E24" w:rsidRPr="00651450">
        <w:t xml:space="preserve"> TO 19.1,19.2,19.</w:t>
      </w:r>
      <w:r w:rsidR="00FE7D9A" w:rsidRPr="00651450">
        <w:t>3.</w:t>
      </w:r>
      <w:bookmarkEnd w:id="16"/>
    </w:p>
    <w:p w14:paraId="1667E042" w14:textId="77777777" w:rsidR="00C30567" w:rsidRPr="00651450" w:rsidRDefault="00C30567" w:rsidP="00AA4C8E">
      <w:pPr>
        <w:jc w:val="both"/>
        <w:rPr>
          <w:rFonts w:asciiTheme="majorHAnsi" w:hAnsiTheme="majorHAnsi" w:cstheme="majorHAnsi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2574"/>
        <w:gridCol w:w="1620"/>
        <w:gridCol w:w="1748"/>
        <w:gridCol w:w="1660"/>
        <w:gridCol w:w="1748"/>
      </w:tblGrid>
      <w:tr w:rsidR="00DF1D72" w:rsidRPr="00651450" w14:paraId="517B0EE9" w14:textId="77777777" w:rsidTr="00AC25A4">
        <w:trPr>
          <w:trHeight w:val="1098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64AC6EC7" w14:textId="77777777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4622C1E7" w14:textId="7EAAD421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 xml:space="preserve">Iznos potpore </w:t>
            </w:r>
            <w:r w:rsidR="004B2BDC"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>dodijeljen</w:t>
            </w: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="00E57173"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 xml:space="preserve"> LAG-u </w:t>
            </w:r>
            <w:r w:rsidR="00E57173" w:rsidRPr="00651450">
              <w:rPr>
                <w:rStyle w:val="Referencafusnote"/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footnoteReference w:id="1"/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3E758D31" w14:textId="6F080AD1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>Iznos potpore prije prijelaznog razdoblja</w:t>
            </w:r>
            <w:r w:rsidR="00E57173" w:rsidRPr="00651450">
              <w:rPr>
                <w:rStyle w:val="Referencafusnote"/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footnoteReference w:id="2"/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3EB65536" w14:textId="4CA4E7D9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 xml:space="preserve">Iznos potpore iz prijelaznog razdoblja </w:t>
            </w:r>
            <w:r w:rsidR="00DF1D72" w:rsidRPr="00651450">
              <w:rPr>
                <w:rStyle w:val="Referencafusnote"/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footnoteReference w:id="3"/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73EFCC3C" w14:textId="77777777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>Ukupan iznos potpore</w:t>
            </w:r>
          </w:p>
        </w:tc>
      </w:tr>
      <w:tr w:rsidR="00DF1D72" w:rsidRPr="00651450" w14:paraId="4EF85EB3" w14:textId="77777777" w:rsidTr="00210E16">
        <w:trPr>
          <w:trHeight w:val="602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78F7D6E2" w14:textId="6C39FD31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>IZNOS JAVNE POTPORE ZA 19.1.</w:t>
            </w:r>
            <w:r w:rsidR="00395039" w:rsidRPr="00651450">
              <w:rPr>
                <w:rStyle w:val="Referencafusnote"/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footnoteReference w:id="4"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B9EED" w14:textId="77777777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C9A2" w14:textId="77777777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1608" w14:textId="77777777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 xml:space="preserve">            17.886,14 €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0400" w14:textId="77777777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             17.886,14 € </w:t>
            </w:r>
          </w:p>
        </w:tc>
      </w:tr>
      <w:tr w:rsidR="00DF1D72" w:rsidRPr="00651450" w14:paraId="13414362" w14:textId="77777777" w:rsidTr="00210E16">
        <w:trPr>
          <w:trHeight w:val="602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2955C5AE" w14:textId="093FB34C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 xml:space="preserve">IZNOS JAVNE POTPORE ZA 19.2.  </w:t>
            </w:r>
            <w:r w:rsidR="00395039" w:rsidRPr="00651450">
              <w:rPr>
                <w:rStyle w:val="Referencafusnote"/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footnoteReference w:id="5"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D7715" w14:textId="77777777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 xml:space="preserve">         945.145,95 €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E366D" w14:textId="77777777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 xml:space="preserve">        1.141.421,75 €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A640" w14:textId="77777777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 xml:space="preserve">         532.949,78 €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B6FF" w14:textId="77777777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       1.674.371,53 € </w:t>
            </w:r>
          </w:p>
        </w:tc>
      </w:tr>
      <w:tr w:rsidR="00DF1D72" w:rsidRPr="00651450" w14:paraId="14BFA312" w14:textId="77777777" w:rsidTr="00210E16">
        <w:trPr>
          <w:trHeight w:val="602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49C2CC0F" w14:textId="5070D17B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 xml:space="preserve">2. IZNOS JAVNE POTPORE ZA 19.3. </w:t>
            </w:r>
            <w:r w:rsidR="00395039" w:rsidRPr="00651450">
              <w:rPr>
                <w:rStyle w:val="Referencafusnote"/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footnoteReference w:id="6"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B43E6" w14:textId="77777777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 xml:space="preserve">            47.257,30 €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B057" w14:textId="77777777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 xml:space="preserve">              47.257,30 €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AEA7" w14:textId="77777777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 xml:space="preserve">                           -   €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2D96" w14:textId="77777777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             47.257,30 € </w:t>
            </w:r>
          </w:p>
        </w:tc>
      </w:tr>
      <w:tr w:rsidR="00DF1D72" w:rsidRPr="00651450" w14:paraId="5A6E3076" w14:textId="77777777" w:rsidTr="00210E16">
        <w:trPr>
          <w:trHeight w:val="602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16DF9945" w14:textId="43A76EEE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 xml:space="preserve">3. IZNOS JAVNE POTPORE ZA 19.4. </w:t>
            </w:r>
            <w:r w:rsidR="00395039" w:rsidRPr="00651450">
              <w:rPr>
                <w:rStyle w:val="Referencafusnote"/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footnoteReference w:id="7"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7BA98" w14:textId="77777777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 xml:space="preserve">         248.100,81 €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1A7C" w14:textId="77777777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 xml:space="preserve">            248.100,81 €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AC28A" w14:textId="77777777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 xml:space="preserve">         131.578,41 €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0A83" w14:textId="77777777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           379.679,22 € </w:t>
            </w:r>
          </w:p>
        </w:tc>
      </w:tr>
      <w:tr w:rsidR="00DF1D72" w:rsidRPr="00651450" w14:paraId="51A03220" w14:textId="77777777" w:rsidTr="00210E16">
        <w:trPr>
          <w:trHeight w:val="602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5045F5DC" w14:textId="77777777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 xml:space="preserve">4. UKUPNO ZA 19.2. / 19.3. / 19.4.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5CE58" w14:textId="77777777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 xml:space="preserve">      1.240.504,06 €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BC24" w14:textId="77777777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 xml:space="preserve">        1.436.779,86 €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976F" w14:textId="77777777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 xml:space="preserve">         682.414,33 €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3572" w14:textId="77777777" w:rsidR="00FE7D9A" w:rsidRPr="00651450" w:rsidRDefault="00FE7D9A" w:rsidP="00FE7D9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       2.119.194,19 € </w:t>
            </w:r>
          </w:p>
        </w:tc>
      </w:tr>
    </w:tbl>
    <w:p w14:paraId="24AF55B3" w14:textId="77EBC72C" w:rsidR="00E63763" w:rsidRPr="0050740D" w:rsidRDefault="00E63763" w:rsidP="00E63763">
      <w:pPr>
        <w:pStyle w:val="Bezproreda"/>
        <w:spacing w:line="360" w:lineRule="auto"/>
        <w:ind w:left="720"/>
        <w:jc w:val="center"/>
        <w:rPr>
          <w:rFonts w:ascii="Calibri Light" w:hAnsi="Calibri Light" w:cs="Calibri Light"/>
          <w:i/>
          <w:iCs/>
          <w:color w:val="233F60"/>
          <w:sz w:val="20"/>
          <w:szCs w:val="20"/>
        </w:rPr>
      </w:pPr>
      <w:r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 xml:space="preserve">Izvor: Stručna služba LAG-a SAVA, </w:t>
      </w:r>
      <w:r w:rsidR="00240436">
        <w:rPr>
          <w:rFonts w:ascii="Calibri Light" w:hAnsi="Calibri Light" w:cs="Calibri Light"/>
          <w:i/>
          <w:iCs/>
          <w:color w:val="233F60"/>
          <w:sz w:val="20"/>
          <w:szCs w:val="20"/>
        </w:rPr>
        <w:t>studeni 2025</w:t>
      </w:r>
      <w:r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>.</w:t>
      </w:r>
    </w:p>
    <w:p w14:paraId="0EFF9069" w14:textId="77777777" w:rsidR="00FE7D9A" w:rsidRPr="00651450" w:rsidRDefault="00FE7D9A">
      <w:pPr>
        <w:rPr>
          <w:rFonts w:asciiTheme="majorHAnsi" w:hAnsiTheme="majorHAnsi" w:cstheme="majorHAnsi"/>
        </w:rPr>
      </w:pPr>
    </w:p>
    <w:p w14:paraId="3A99C42D" w14:textId="336BC279" w:rsidR="00FE7D9A" w:rsidRPr="00651450" w:rsidRDefault="00E63763" w:rsidP="00E753C3">
      <w:pPr>
        <w:pStyle w:val="Naslov3"/>
        <w:rPr>
          <w:rFonts w:cstheme="majorHAnsi"/>
          <w:sz w:val="22"/>
          <w:szCs w:val="22"/>
        </w:rPr>
      </w:pPr>
      <w:bookmarkStart w:id="17" w:name="_Toc212823174"/>
      <w:r>
        <w:rPr>
          <w:rFonts w:cstheme="majorHAnsi"/>
          <w:sz w:val="22"/>
          <w:szCs w:val="22"/>
        </w:rPr>
        <w:t xml:space="preserve">Tablica 3: </w:t>
      </w:r>
      <w:r w:rsidR="00FE7D9A" w:rsidRPr="00651450">
        <w:rPr>
          <w:rFonts w:cstheme="majorHAnsi"/>
          <w:sz w:val="22"/>
          <w:szCs w:val="22"/>
        </w:rPr>
        <w:t>Dokumenti na temelju kojih su se dodjeljivala sredstva</w:t>
      </w:r>
      <w:bookmarkEnd w:id="17"/>
    </w:p>
    <w:p w14:paraId="3FDADB4F" w14:textId="77777777" w:rsidR="006074BE" w:rsidRPr="00651450" w:rsidRDefault="00FE7D9A">
      <w:pPr>
        <w:rPr>
          <w:rFonts w:asciiTheme="majorHAnsi" w:hAnsiTheme="majorHAnsi" w:cstheme="majorHAnsi"/>
        </w:rPr>
      </w:pPr>
      <w:r w:rsidRPr="00651450">
        <w:rPr>
          <w:rFonts w:asciiTheme="majorHAnsi" w:hAnsiTheme="majorHAnsi" w:cstheme="majorHAnsi"/>
        </w:rPr>
        <w:fldChar w:fldCharType="begin"/>
      </w:r>
      <w:r w:rsidRPr="00651450">
        <w:rPr>
          <w:rFonts w:asciiTheme="majorHAnsi" w:hAnsiTheme="majorHAnsi" w:cstheme="majorHAnsi"/>
        </w:rPr>
        <w:instrText xml:space="preserve"> LINK Excel.Sheet.12 "https://d.docs.live.net/fb504e8e5121416a/LRS/4_Evaluacije LRS 2014-2020/2023/pomoćna knjiga.xlsx" "List1!R10C1:R18C3" \a \f 5 \h  \* MERGEFORMAT </w:instrText>
      </w:r>
      <w:r w:rsidRPr="00651450">
        <w:rPr>
          <w:rFonts w:asciiTheme="majorHAnsi" w:hAnsiTheme="majorHAnsi" w:cstheme="majorHAnsi"/>
        </w:rPr>
        <w:fldChar w:fldCharType="separate"/>
      </w:r>
    </w:p>
    <w:tbl>
      <w:tblPr>
        <w:tblStyle w:val="Reetkatablice"/>
        <w:tblW w:w="9209" w:type="dxa"/>
        <w:tblInd w:w="1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240"/>
        <w:gridCol w:w="7"/>
        <w:gridCol w:w="2817"/>
        <w:gridCol w:w="1145"/>
      </w:tblGrid>
      <w:tr w:rsidR="004B2BDC" w:rsidRPr="00651450" w14:paraId="2336B14D" w14:textId="1DAE0043" w:rsidTr="00210E16">
        <w:trPr>
          <w:divId w:val="1017735925"/>
          <w:trHeight w:val="100"/>
          <w:tblHeader/>
        </w:trPr>
        <w:tc>
          <w:tcPr>
            <w:tcW w:w="5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F7E5C6" w14:textId="39ACD1E2" w:rsidR="004B2BDC" w:rsidRPr="00651450" w:rsidRDefault="004B2BDC" w:rsidP="004B2BDC">
            <w:pPr>
              <w:tabs>
                <w:tab w:val="left" w:pos="4082"/>
              </w:tabs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51450">
              <w:rPr>
                <w:rFonts w:asciiTheme="majorHAnsi" w:hAnsiTheme="majorHAnsi" w:cstheme="majorHAnsi"/>
                <w:b/>
                <w:bCs/>
              </w:rPr>
              <w:t>Naziv Ugovora i datum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5D98A2" w14:textId="786297A4" w:rsidR="004B2BDC" w:rsidRPr="00651450" w:rsidRDefault="004B2BDC" w:rsidP="004B2BDC">
            <w:pPr>
              <w:rPr>
                <w:rFonts w:asciiTheme="majorHAnsi" w:hAnsiTheme="majorHAnsi" w:cstheme="majorHAnsi"/>
                <w:b/>
                <w:bCs/>
              </w:rPr>
            </w:pPr>
            <w:r w:rsidRPr="00651450">
              <w:rPr>
                <w:rFonts w:asciiTheme="majorHAnsi" w:hAnsiTheme="majorHAnsi" w:cstheme="majorHAnsi"/>
                <w:b/>
                <w:bCs/>
              </w:rPr>
              <w:t xml:space="preserve">Klasa i </w:t>
            </w:r>
            <w:proofErr w:type="spellStart"/>
            <w:r w:rsidRPr="00651450">
              <w:rPr>
                <w:rFonts w:asciiTheme="majorHAnsi" w:hAnsiTheme="majorHAnsi" w:cstheme="majorHAnsi"/>
                <w:b/>
                <w:bCs/>
              </w:rPr>
              <w:t>Urbroj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4CD0A0" w14:textId="5246F989" w:rsidR="004B2BDC" w:rsidRPr="00651450" w:rsidRDefault="004B2BDC" w:rsidP="004B2BDC">
            <w:pPr>
              <w:rPr>
                <w:rFonts w:asciiTheme="majorHAnsi" w:hAnsiTheme="majorHAnsi" w:cstheme="majorHAnsi"/>
                <w:b/>
                <w:bCs/>
              </w:rPr>
            </w:pPr>
            <w:r w:rsidRPr="00651450">
              <w:rPr>
                <w:rFonts w:asciiTheme="majorHAnsi" w:hAnsiTheme="majorHAnsi" w:cstheme="majorHAnsi"/>
                <w:b/>
                <w:bCs/>
              </w:rPr>
              <w:t>Svrha</w:t>
            </w:r>
          </w:p>
        </w:tc>
      </w:tr>
      <w:tr w:rsidR="00DF1D72" w:rsidRPr="00651450" w14:paraId="7B103F45" w14:textId="77777777" w:rsidTr="00DF1D7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divId w:val="1017735925"/>
          <w:trHeight w:val="587"/>
        </w:trPr>
        <w:tc>
          <w:tcPr>
            <w:tcW w:w="5240" w:type="dxa"/>
            <w:tcBorders>
              <w:top w:val="single" w:sz="4" w:space="0" w:color="auto"/>
            </w:tcBorders>
            <w:hideMark/>
          </w:tcPr>
          <w:p w14:paraId="731F944B" w14:textId="04CB59EF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ugovor o dodjeli sredstava br</w:t>
            </w:r>
            <w:r w:rsidR="00395039" w:rsidRPr="00651450">
              <w:rPr>
                <w:rFonts w:asciiTheme="majorHAnsi" w:hAnsiTheme="majorHAnsi" w:cstheme="majorHAnsi"/>
              </w:rPr>
              <w:t>.</w:t>
            </w:r>
            <w:r w:rsidRPr="00651450">
              <w:rPr>
                <w:rFonts w:asciiTheme="majorHAnsi" w:hAnsiTheme="majorHAnsi" w:cstheme="majorHAnsi"/>
              </w:rPr>
              <w:t xml:space="preserve"> 5777 od 20. veljače 2017. 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</w:tcBorders>
            <w:hideMark/>
          </w:tcPr>
          <w:p w14:paraId="1D88E5E1" w14:textId="77777777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KLASA: 440-12/16-19-02-01/0053</w:t>
            </w:r>
            <w:r w:rsidRPr="00651450">
              <w:rPr>
                <w:rFonts w:asciiTheme="majorHAnsi" w:hAnsiTheme="majorHAnsi" w:cstheme="majorHAnsi"/>
              </w:rPr>
              <w:br/>
            </w:r>
            <w:proofErr w:type="spellStart"/>
            <w:r w:rsidRPr="00651450">
              <w:rPr>
                <w:rFonts w:asciiTheme="majorHAnsi" w:hAnsiTheme="majorHAnsi" w:cstheme="majorHAnsi"/>
              </w:rPr>
              <w:t>Urbroj</w:t>
            </w:r>
            <w:proofErr w:type="spellEnd"/>
            <w:r w:rsidRPr="00651450">
              <w:rPr>
                <w:rFonts w:asciiTheme="majorHAnsi" w:hAnsiTheme="majorHAnsi" w:cstheme="majorHAnsi"/>
              </w:rPr>
              <w:t>: 343-1400/01-17-010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noWrap/>
            <w:hideMark/>
          </w:tcPr>
          <w:p w14:paraId="27E79A1E" w14:textId="77777777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dodjela sredstava</w:t>
            </w:r>
          </w:p>
        </w:tc>
      </w:tr>
      <w:tr w:rsidR="006074BE" w:rsidRPr="00651450" w14:paraId="0CF91070" w14:textId="77777777" w:rsidTr="00DF1D7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divId w:val="1017735925"/>
          <w:trHeight w:val="695"/>
        </w:trPr>
        <w:tc>
          <w:tcPr>
            <w:tcW w:w="5240" w:type="dxa"/>
            <w:hideMark/>
          </w:tcPr>
          <w:p w14:paraId="39583A1F" w14:textId="77777777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Aneks ugovora o dodjeli sredstava odabranom LAG-u br. 1.  od 17.prosinca 2018</w:t>
            </w:r>
          </w:p>
        </w:tc>
        <w:tc>
          <w:tcPr>
            <w:tcW w:w="2824" w:type="dxa"/>
            <w:gridSpan w:val="2"/>
            <w:hideMark/>
          </w:tcPr>
          <w:p w14:paraId="08BA7B13" w14:textId="77777777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KLASA: 440-12/16-19-02-01/0053</w:t>
            </w:r>
            <w:r w:rsidRPr="00651450">
              <w:rPr>
                <w:rFonts w:asciiTheme="majorHAnsi" w:hAnsiTheme="majorHAnsi" w:cstheme="majorHAnsi"/>
              </w:rPr>
              <w:br/>
            </w:r>
            <w:proofErr w:type="spellStart"/>
            <w:r w:rsidRPr="00651450">
              <w:rPr>
                <w:rFonts w:asciiTheme="majorHAnsi" w:hAnsiTheme="majorHAnsi" w:cstheme="majorHAnsi"/>
              </w:rPr>
              <w:t>Urbroj</w:t>
            </w:r>
            <w:proofErr w:type="spellEnd"/>
            <w:r w:rsidRPr="00651450">
              <w:rPr>
                <w:rFonts w:asciiTheme="majorHAnsi" w:hAnsiTheme="majorHAnsi" w:cstheme="majorHAnsi"/>
              </w:rPr>
              <w:t>: 343-1603/01-18-066</w:t>
            </w:r>
          </w:p>
        </w:tc>
        <w:tc>
          <w:tcPr>
            <w:tcW w:w="1145" w:type="dxa"/>
            <w:noWrap/>
            <w:hideMark/>
          </w:tcPr>
          <w:p w14:paraId="75104A23" w14:textId="77777777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Izmjena Ugovora</w:t>
            </w:r>
          </w:p>
        </w:tc>
      </w:tr>
      <w:tr w:rsidR="006074BE" w:rsidRPr="00651450" w14:paraId="5FE9F693" w14:textId="77777777" w:rsidTr="00DF1D7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divId w:val="1017735925"/>
          <w:trHeight w:val="705"/>
        </w:trPr>
        <w:tc>
          <w:tcPr>
            <w:tcW w:w="5240" w:type="dxa"/>
            <w:hideMark/>
          </w:tcPr>
          <w:p w14:paraId="49F84592" w14:textId="79C83AFD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 xml:space="preserve">Odluka o primjeni sustava nagrađivanja za naknadnu dodjelu sredstava </w:t>
            </w:r>
            <w:r w:rsidR="00395039" w:rsidRPr="00651450">
              <w:rPr>
                <w:rFonts w:asciiTheme="majorHAnsi" w:hAnsiTheme="majorHAnsi" w:cstheme="majorHAnsi"/>
              </w:rPr>
              <w:t>odabranim</w:t>
            </w:r>
            <w:r w:rsidRPr="00651450">
              <w:rPr>
                <w:rFonts w:asciiTheme="majorHAnsi" w:hAnsiTheme="majorHAnsi" w:cstheme="majorHAnsi"/>
              </w:rPr>
              <w:t xml:space="preserve"> LAG-ovima</w:t>
            </w:r>
          </w:p>
        </w:tc>
        <w:tc>
          <w:tcPr>
            <w:tcW w:w="2824" w:type="dxa"/>
            <w:gridSpan w:val="2"/>
            <w:hideMark/>
          </w:tcPr>
          <w:p w14:paraId="5491C44F" w14:textId="77777777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 xml:space="preserve">KLASA: 910-05/20-01/25 </w:t>
            </w:r>
            <w:proofErr w:type="spellStart"/>
            <w:r w:rsidRPr="00651450">
              <w:rPr>
                <w:rFonts w:asciiTheme="majorHAnsi" w:hAnsiTheme="majorHAnsi" w:cstheme="majorHAnsi"/>
              </w:rPr>
              <w:t>Urbroj</w:t>
            </w:r>
            <w:proofErr w:type="spellEnd"/>
            <w:r w:rsidRPr="00651450">
              <w:rPr>
                <w:rFonts w:asciiTheme="majorHAnsi" w:hAnsiTheme="majorHAnsi" w:cstheme="majorHAnsi"/>
              </w:rPr>
              <w:t>: 525-08/0265-20-1</w:t>
            </w:r>
          </w:p>
        </w:tc>
        <w:tc>
          <w:tcPr>
            <w:tcW w:w="1145" w:type="dxa"/>
            <w:noWrap/>
            <w:hideMark/>
          </w:tcPr>
          <w:p w14:paraId="7724F578" w14:textId="77777777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Odluka o dodjeli nagradnih sredstava</w:t>
            </w:r>
          </w:p>
        </w:tc>
      </w:tr>
      <w:tr w:rsidR="006074BE" w:rsidRPr="00651450" w14:paraId="0C6BF19F" w14:textId="77777777" w:rsidTr="00DF1D7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divId w:val="1017735925"/>
          <w:trHeight w:val="607"/>
        </w:trPr>
        <w:tc>
          <w:tcPr>
            <w:tcW w:w="5240" w:type="dxa"/>
            <w:hideMark/>
          </w:tcPr>
          <w:p w14:paraId="2DA55A84" w14:textId="77777777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Odluka o izmjeni odluke o odabiru LAG-a od 4. kolovoza 2020.</w:t>
            </w:r>
          </w:p>
        </w:tc>
        <w:tc>
          <w:tcPr>
            <w:tcW w:w="2824" w:type="dxa"/>
            <w:gridSpan w:val="2"/>
            <w:hideMark/>
          </w:tcPr>
          <w:p w14:paraId="3B8E501F" w14:textId="77777777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KLASA: 440-12/16-19-02-01/0053</w:t>
            </w:r>
            <w:r w:rsidRPr="00651450">
              <w:rPr>
                <w:rFonts w:asciiTheme="majorHAnsi" w:hAnsiTheme="majorHAnsi" w:cstheme="majorHAnsi"/>
              </w:rPr>
              <w:br/>
            </w:r>
            <w:proofErr w:type="spellStart"/>
            <w:r w:rsidRPr="00651450">
              <w:rPr>
                <w:rFonts w:asciiTheme="majorHAnsi" w:hAnsiTheme="majorHAnsi" w:cstheme="majorHAnsi"/>
              </w:rPr>
              <w:t>Urbroj</w:t>
            </w:r>
            <w:proofErr w:type="spellEnd"/>
            <w:r w:rsidRPr="00651450">
              <w:rPr>
                <w:rFonts w:asciiTheme="majorHAnsi" w:hAnsiTheme="majorHAnsi" w:cstheme="majorHAnsi"/>
              </w:rPr>
              <w:t>: 343-1602/01-20-111</w:t>
            </w:r>
          </w:p>
        </w:tc>
        <w:tc>
          <w:tcPr>
            <w:tcW w:w="1145" w:type="dxa"/>
            <w:noWrap/>
            <w:hideMark/>
          </w:tcPr>
          <w:p w14:paraId="5DA48AC1" w14:textId="77777777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dodjela sredstava</w:t>
            </w:r>
          </w:p>
        </w:tc>
      </w:tr>
      <w:tr w:rsidR="006074BE" w:rsidRPr="00651450" w14:paraId="5E4C5F80" w14:textId="77777777" w:rsidTr="00DF1D7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divId w:val="1017735925"/>
          <w:trHeight w:val="654"/>
        </w:trPr>
        <w:tc>
          <w:tcPr>
            <w:tcW w:w="5240" w:type="dxa"/>
            <w:hideMark/>
          </w:tcPr>
          <w:p w14:paraId="24211CA2" w14:textId="77777777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lastRenderedPageBreak/>
              <w:t>Aneks ugovora o dodjeli sredstava odabranom LAG-u br. 2. br. Ugovora 5777/2 od 26.kolovoza 2020.</w:t>
            </w:r>
          </w:p>
        </w:tc>
        <w:tc>
          <w:tcPr>
            <w:tcW w:w="2824" w:type="dxa"/>
            <w:gridSpan w:val="2"/>
            <w:hideMark/>
          </w:tcPr>
          <w:p w14:paraId="25542B59" w14:textId="77777777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KLASA: 440-12/16-19-02-01/0053</w:t>
            </w:r>
            <w:r w:rsidRPr="00651450">
              <w:rPr>
                <w:rFonts w:asciiTheme="majorHAnsi" w:hAnsiTheme="majorHAnsi" w:cstheme="majorHAnsi"/>
              </w:rPr>
              <w:br/>
            </w:r>
            <w:proofErr w:type="spellStart"/>
            <w:r w:rsidRPr="00651450">
              <w:rPr>
                <w:rFonts w:asciiTheme="majorHAnsi" w:hAnsiTheme="majorHAnsi" w:cstheme="majorHAnsi"/>
              </w:rPr>
              <w:t>Urbroj</w:t>
            </w:r>
            <w:proofErr w:type="spellEnd"/>
            <w:r w:rsidRPr="00651450">
              <w:rPr>
                <w:rFonts w:asciiTheme="majorHAnsi" w:hAnsiTheme="majorHAnsi" w:cstheme="majorHAnsi"/>
              </w:rPr>
              <w:t>: 343-1603/01-20-112</w:t>
            </w:r>
          </w:p>
        </w:tc>
        <w:tc>
          <w:tcPr>
            <w:tcW w:w="1145" w:type="dxa"/>
            <w:noWrap/>
            <w:hideMark/>
          </w:tcPr>
          <w:p w14:paraId="290FCD86" w14:textId="77777777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dodjela sredstava</w:t>
            </w:r>
          </w:p>
        </w:tc>
      </w:tr>
      <w:tr w:rsidR="006074BE" w:rsidRPr="00651450" w14:paraId="404150CC" w14:textId="77777777" w:rsidTr="00DF1D7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divId w:val="1017735925"/>
          <w:trHeight w:val="833"/>
        </w:trPr>
        <w:tc>
          <w:tcPr>
            <w:tcW w:w="5240" w:type="dxa"/>
            <w:hideMark/>
          </w:tcPr>
          <w:p w14:paraId="32F898D4" w14:textId="77777777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Odluka o izmjeni odluke o odabiru LAG-a od 5. svibnja 2021.</w:t>
            </w:r>
          </w:p>
        </w:tc>
        <w:tc>
          <w:tcPr>
            <w:tcW w:w="2824" w:type="dxa"/>
            <w:gridSpan w:val="2"/>
            <w:hideMark/>
          </w:tcPr>
          <w:p w14:paraId="060BC301" w14:textId="77777777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KLASA: 440-12/16-19-02-01/0053</w:t>
            </w:r>
            <w:r w:rsidRPr="00651450">
              <w:rPr>
                <w:rFonts w:asciiTheme="majorHAnsi" w:hAnsiTheme="majorHAnsi" w:cstheme="majorHAnsi"/>
              </w:rPr>
              <w:br/>
            </w:r>
            <w:proofErr w:type="spellStart"/>
            <w:r w:rsidRPr="00651450">
              <w:rPr>
                <w:rFonts w:asciiTheme="majorHAnsi" w:hAnsiTheme="majorHAnsi" w:cstheme="majorHAnsi"/>
              </w:rPr>
              <w:t>Urbroj</w:t>
            </w:r>
            <w:proofErr w:type="spellEnd"/>
            <w:r w:rsidRPr="00651450">
              <w:rPr>
                <w:rFonts w:asciiTheme="majorHAnsi" w:hAnsiTheme="majorHAnsi" w:cstheme="majorHAnsi"/>
              </w:rPr>
              <w:t>: 343-1603/01-21-127</w:t>
            </w:r>
          </w:p>
        </w:tc>
        <w:tc>
          <w:tcPr>
            <w:tcW w:w="1145" w:type="dxa"/>
            <w:noWrap/>
            <w:hideMark/>
          </w:tcPr>
          <w:p w14:paraId="0C44A381" w14:textId="77777777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dodjela sredstava</w:t>
            </w:r>
          </w:p>
        </w:tc>
      </w:tr>
      <w:tr w:rsidR="006074BE" w:rsidRPr="00651450" w14:paraId="1CD90AB4" w14:textId="77777777" w:rsidTr="00DF1D7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divId w:val="1017735925"/>
          <w:trHeight w:val="708"/>
        </w:trPr>
        <w:tc>
          <w:tcPr>
            <w:tcW w:w="5240" w:type="dxa"/>
            <w:hideMark/>
          </w:tcPr>
          <w:p w14:paraId="24C58025" w14:textId="2FB469B0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Aneks ugovora o dodjeli sredstava odabranom LAG-u br. 3. br. Ugovora 5777/</w:t>
            </w:r>
            <w:r w:rsidR="00DA7178">
              <w:rPr>
                <w:rFonts w:asciiTheme="majorHAnsi" w:hAnsiTheme="majorHAnsi" w:cstheme="majorHAnsi"/>
              </w:rPr>
              <w:t>3</w:t>
            </w:r>
            <w:r w:rsidRPr="0065145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824" w:type="dxa"/>
            <w:gridSpan w:val="2"/>
            <w:hideMark/>
          </w:tcPr>
          <w:p w14:paraId="47D1E3B5" w14:textId="5E35A665" w:rsidR="006074BE" w:rsidRPr="00651450" w:rsidRDefault="00BA1892" w:rsidP="004B2B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Napomena: Nakon ovjere ugovora kod javnog bilježnica nestao je potpis ravnatelja Agencije. Oba Ugovora</w:t>
            </w:r>
          </w:p>
        </w:tc>
        <w:tc>
          <w:tcPr>
            <w:tcW w:w="1145" w:type="dxa"/>
            <w:noWrap/>
            <w:hideMark/>
          </w:tcPr>
          <w:p w14:paraId="5A196F8B" w14:textId="77777777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dodjela sredstava</w:t>
            </w:r>
          </w:p>
        </w:tc>
      </w:tr>
      <w:tr w:rsidR="006074BE" w:rsidRPr="00651450" w14:paraId="1F512909" w14:textId="77777777" w:rsidTr="00DF1D7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divId w:val="1017735925"/>
          <w:trHeight w:val="992"/>
        </w:trPr>
        <w:tc>
          <w:tcPr>
            <w:tcW w:w="5240" w:type="dxa"/>
            <w:hideMark/>
          </w:tcPr>
          <w:p w14:paraId="4D7C61BF" w14:textId="77777777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Odluka o dodjeli dodatnih sredstava iz tipa operacije 19.1.1 ''Pripremna pomoć'' odabranim Lokalnim akcijskim grupama</w:t>
            </w:r>
          </w:p>
        </w:tc>
        <w:tc>
          <w:tcPr>
            <w:tcW w:w="2824" w:type="dxa"/>
            <w:gridSpan w:val="2"/>
            <w:hideMark/>
          </w:tcPr>
          <w:p w14:paraId="37BECBBB" w14:textId="77777777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 xml:space="preserve">KLASA: 910-05/23-01/3 </w:t>
            </w:r>
            <w:proofErr w:type="spellStart"/>
            <w:r w:rsidRPr="00651450">
              <w:rPr>
                <w:rFonts w:asciiTheme="majorHAnsi" w:hAnsiTheme="majorHAnsi" w:cstheme="majorHAnsi"/>
              </w:rPr>
              <w:t>Urbroj</w:t>
            </w:r>
            <w:proofErr w:type="spellEnd"/>
            <w:r w:rsidRPr="00651450">
              <w:rPr>
                <w:rFonts w:asciiTheme="majorHAnsi" w:hAnsiTheme="majorHAnsi" w:cstheme="majorHAnsi"/>
              </w:rPr>
              <w:t>: 525-07/304-23-1</w:t>
            </w:r>
          </w:p>
        </w:tc>
        <w:tc>
          <w:tcPr>
            <w:tcW w:w="1145" w:type="dxa"/>
            <w:noWrap/>
            <w:hideMark/>
          </w:tcPr>
          <w:p w14:paraId="2D9A9BA1" w14:textId="77777777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dodjela sredstava</w:t>
            </w:r>
          </w:p>
        </w:tc>
      </w:tr>
      <w:tr w:rsidR="006074BE" w:rsidRPr="00651450" w14:paraId="71E7603C" w14:textId="77777777" w:rsidTr="00DF1D7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divId w:val="1017735925"/>
          <w:trHeight w:val="1500"/>
        </w:trPr>
        <w:tc>
          <w:tcPr>
            <w:tcW w:w="5240" w:type="dxa"/>
            <w:hideMark/>
          </w:tcPr>
          <w:p w14:paraId="07A004EE" w14:textId="1429DD91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Aneks ugovora o dodjeli sredstava odabranom LAG-u br.4 od 19.srpnja 2023.</w:t>
            </w:r>
          </w:p>
        </w:tc>
        <w:tc>
          <w:tcPr>
            <w:tcW w:w="2824" w:type="dxa"/>
            <w:gridSpan w:val="2"/>
            <w:hideMark/>
          </w:tcPr>
          <w:p w14:paraId="20E9DCF4" w14:textId="77777777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KLASA: 440-12/16-19-02-01/0053</w:t>
            </w:r>
            <w:r w:rsidRPr="00651450">
              <w:rPr>
                <w:rFonts w:asciiTheme="majorHAnsi" w:hAnsiTheme="majorHAnsi" w:cstheme="majorHAnsi"/>
              </w:rPr>
              <w:br/>
            </w:r>
            <w:proofErr w:type="spellStart"/>
            <w:r w:rsidRPr="00651450">
              <w:rPr>
                <w:rFonts w:asciiTheme="majorHAnsi" w:hAnsiTheme="majorHAnsi" w:cstheme="majorHAnsi"/>
              </w:rPr>
              <w:t>Urbroj</w:t>
            </w:r>
            <w:proofErr w:type="spellEnd"/>
            <w:r w:rsidRPr="00651450">
              <w:rPr>
                <w:rFonts w:asciiTheme="majorHAnsi" w:hAnsiTheme="majorHAnsi" w:cstheme="majorHAnsi"/>
              </w:rPr>
              <w:t>: 343-1603/01-23-162</w:t>
            </w:r>
          </w:p>
        </w:tc>
        <w:tc>
          <w:tcPr>
            <w:tcW w:w="1145" w:type="dxa"/>
            <w:noWrap/>
            <w:hideMark/>
          </w:tcPr>
          <w:p w14:paraId="46CE42D9" w14:textId="77777777" w:rsidR="006074BE" w:rsidRPr="00651450" w:rsidRDefault="006074BE" w:rsidP="004B2BD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dodjela sredstava</w:t>
            </w:r>
          </w:p>
        </w:tc>
      </w:tr>
    </w:tbl>
    <w:p w14:paraId="48107891" w14:textId="0AC9F143" w:rsidR="00E63763" w:rsidRPr="0050740D" w:rsidRDefault="00FE7D9A" w:rsidP="00E63763">
      <w:pPr>
        <w:pStyle w:val="Bezproreda"/>
        <w:spacing w:line="360" w:lineRule="auto"/>
        <w:ind w:left="720"/>
        <w:jc w:val="center"/>
        <w:rPr>
          <w:rFonts w:ascii="Calibri Light" w:hAnsi="Calibri Light" w:cs="Calibri Light"/>
          <w:i/>
          <w:iCs/>
          <w:color w:val="233F60"/>
          <w:sz w:val="20"/>
          <w:szCs w:val="20"/>
        </w:rPr>
      </w:pPr>
      <w:r w:rsidRPr="00651450">
        <w:rPr>
          <w:rFonts w:asciiTheme="majorHAnsi" w:hAnsiTheme="majorHAnsi" w:cstheme="majorHAnsi"/>
        </w:rPr>
        <w:fldChar w:fldCharType="end"/>
      </w:r>
      <w:r w:rsidR="00E63763" w:rsidRPr="00E63763">
        <w:rPr>
          <w:rFonts w:ascii="Calibri Light" w:hAnsi="Calibri Light" w:cs="Calibri Light"/>
          <w:i/>
          <w:iCs/>
          <w:color w:val="233F60"/>
          <w:sz w:val="20"/>
          <w:szCs w:val="20"/>
        </w:rPr>
        <w:t xml:space="preserve"> </w:t>
      </w:r>
      <w:r w:rsidR="00E63763"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 xml:space="preserve">Izvor: Stručna služba LAG-a SAVA, </w:t>
      </w:r>
      <w:r w:rsidR="00240436">
        <w:rPr>
          <w:rFonts w:ascii="Calibri Light" w:hAnsi="Calibri Light" w:cs="Calibri Light"/>
          <w:i/>
          <w:iCs/>
          <w:color w:val="233F60"/>
          <w:sz w:val="20"/>
          <w:szCs w:val="20"/>
        </w:rPr>
        <w:t>studeni 2025</w:t>
      </w:r>
      <w:r w:rsidR="00E63763"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>.</w:t>
      </w:r>
    </w:p>
    <w:p w14:paraId="61D946F2" w14:textId="3AEE3FFF" w:rsidR="00DE2513" w:rsidRDefault="00DE2513">
      <w:pPr>
        <w:rPr>
          <w:rFonts w:asciiTheme="majorHAnsi" w:hAnsiTheme="majorHAnsi" w:cstheme="majorHAnsi"/>
        </w:rPr>
        <w:sectPr w:rsidR="00DE2513" w:rsidSect="005E141A">
          <w:pgSz w:w="11906" w:h="16838" w:code="9"/>
          <w:pgMar w:top="1417" w:right="1417" w:bottom="1417" w:left="1417" w:header="1134" w:footer="1134" w:gutter="0"/>
          <w:cols w:space="708"/>
          <w:titlePg/>
          <w:docGrid w:linePitch="360"/>
        </w:sectPr>
      </w:pPr>
    </w:p>
    <w:tbl>
      <w:tblPr>
        <w:tblStyle w:val="Svijetlatablicareetke1-isticanje52"/>
        <w:tblpPr w:leftFromText="180" w:rightFromText="180" w:vertAnchor="page" w:horzAnchor="margin" w:tblpXSpec="center" w:tblpY="2994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56"/>
        <w:gridCol w:w="1563"/>
        <w:gridCol w:w="1134"/>
        <w:gridCol w:w="1134"/>
        <w:gridCol w:w="1134"/>
        <w:gridCol w:w="2410"/>
        <w:gridCol w:w="2268"/>
        <w:gridCol w:w="1275"/>
        <w:gridCol w:w="1276"/>
      </w:tblGrid>
      <w:tr w:rsidR="00177BF4" w:rsidRPr="001F7737" w14:paraId="13ABE469" w14:textId="77777777" w:rsidTr="00210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gridSpan w:val="10"/>
            <w:tcBorders>
              <w:bottom w:val="none" w:sz="0" w:space="0" w:color="auto"/>
            </w:tcBorders>
            <w:shd w:val="clear" w:color="auto" w:fill="E2EFD9" w:themeFill="accent6" w:themeFillTint="33"/>
          </w:tcPr>
          <w:p w14:paraId="1B07C20B" w14:textId="77777777" w:rsidR="00177BF4" w:rsidRPr="001F7737" w:rsidRDefault="00177BF4" w:rsidP="00177BF4">
            <w:pPr>
              <w:jc w:val="center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lastRenderedPageBreak/>
              <w:t xml:space="preserve">Indikatori (mjerljivi pokazatelji) rezultata/naziv pokazatelja </w:t>
            </w:r>
            <w:r w:rsidRPr="001F7737">
              <w:rPr>
                <w:rFonts w:ascii="Calibri Light" w:hAnsi="Calibri Light" w:cs="Calibri Light"/>
                <w:i/>
              </w:rPr>
              <w:t>(</w:t>
            </w:r>
            <w:proofErr w:type="spellStart"/>
            <w:r w:rsidRPr="001F7737">
              <w:rPr>
                <w:rFonts w:ascii="Calibri Light" w:hAnsi="Calibri Light" w:cs="Calibri Light"/>
                <w:i/>
              </w:rPr>
              <w:t>result</w:t>
            </w:r>
            <w:proofErr w:type="spellEnd"/>
            <w:r w:rsidRPr="001F7737">
              <w:rPr>
                <w:rFonts w:ascii="Calibri Light" w:hAnsi="Calibri Light" w:cs="Calibri Light"/>
                <w:i/>
              </w:rPr>
              <w:t xml:space="preserve"> </w:t>
            </w:r>
            <w:proofErr w:type="spellStart"/>
            <w:r w:rsidRPr="001F7737">
              <w:rPr>
                <w:rFonts w:ascii="Calibri Light" w:hAnsi="Calibri Light" w:cs="Calibri Light"/>
                <w:i/>
              </w:rPr>
              <w:t>indicators</w:t>
            </w:r>
            <w:proofErr w:type="spellEnd"/>
            <w:r w:rsidRPr="001F7737">
              <w:rPr>
                <w:rFonts w:ascii="Calibri Light" w:hAnsi="Calibri Light" w:cs="Calibri Light"/>
                <w:i/>
              </w:rPr>
              <w:t xml:space="preserve">)-  Pravilnik, </w:t>
            </w:r>
            <w:proofErr w:type="spellStart"/>
            <w:r w:rsidRPr="001F7737">
              <w:rPr>
                <w:rFonts w:ascii="Calibri Light" w:hAnsi="Calibri Light" w:cs="Calibri Light"/>
                <w:i/>
              </w:rPr>
              <w:t>CMES</w:t>
            </w:r>
            <w:proofErr w:type="spellEnd"/>
            <w:r w:rsidRPr="001F7737">
              <w:rPr>
                <w:rFonts w:ascii="Calibri Light" w:hAnsi="Calibri Light" w:cs="Calibri Light"/>
                <w:i/>
              </w:rPr>
              <w:t>/</w:t>
            </w:r>
            <w:proofErr w:type="spellStart"/>
            <w:r w:rsidRPr="001F7737">
              <w:rPr>
                <w:rFonts w:ascii="Calibri Light" w:hAnsi="Calibri Light" w:cs="Calibri Light"/>
                <w:i/>
              </w:rPr>
              <w:t>CMEF</w:t>
            </w:r>
            <w:proofErr w:type="spellEnd"/>
          </w:p>
        </w:tc>
      </w:tr>
      <w:tr w:rsidR="00177BF4" w:rsidRPr="001F7737" w14:paraId="759CB9D4" w14:textId="77777777" w:rsidTr="00210E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gridSpan w:val="2"/>
            <w:vMerge w:val="restart"/>
            <w:vAlign w:val="bottom"/>
          </w:tcPr>
          <w:p w14:paraId="44663D67" w14:textId="77777777" w:rsidR="00177BF4" w:rsidRPr="001F7737" w:rsidRDefault="00177BF4" w:rsidP="00177BF4">
            <w:pPr>
              <w:jc w:val="right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 xml:space="preserve">Godina vrednovanja </w:t>
            </w:r>
          </w:p>
        </w:tc>
        <w:tc>
          <w:tcPr>
            <w:tcW w:w="2697" w:type="dxa"/>
            <w:gridSpan w:val="2"/>
          </w:tcPr>
          <w:p w14:paraId="214E672B" w14:textId="77777777" w:rsidR="00177BF4" w:rsidRPr="001F7737" w:rsidRDefault="00177BF4" w:rsidP="0017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Planirana financijska alokacija (%), odobreno/isplaćeno</w:t>
            </w:r>
          </w:p>
        </w:tc>
        <w:tc>
          <w:tcPr>
            <w:tcW w:w="2268" w:type="dxa"/>
            <w:gridSpan w:val="2"/>
          </w:tcPr>
          <w:p w14:paraId="57D8B2CA" w14:textId="77777777" w:rsidR="00177BF4" w:rsidRPr="001F7737" w:rsidRDefault="00177BF4" w:rsidP="0017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Ukupan broj odobrenih/</w:t>
            </w:r>
          </w:p>
          <w:p w14:paraId="2F4FC4E1" w14:textId="77777777" w:rsidR="00177BF4" w:rsidRPr="001F7737" w:rsidRDefault="00177BF4" w:rsidP="0017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sufinanciranih projekata</w:t>
            </w:r>
          </w:p>
        </w:tc>
        <w:tc>
          <w:tcPr>
            <w:tcW w:w="4678" w:type="dxa"/>
            <w:gridSpan w:val="2"/>
          </w:tcPr>
          <w:p w14:paraId="2240A8E2" w14:textId="2143251C" w:rsidR="00177BF4" w:rsidRPr="001F7737" w:rsidRDefault="00177BF4" w:rsidP="0017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Ukupna odobrena/isplaćena sredstva (</w:t>
            </w:r>
            <w:r w:rsidR="00AD788D">
              <w:rPr>
                <w:rFonts w:ascii="Calibri Light" w:hAnsi="Calibri Light" w:cs="Calibri Light"/>
              </w:rPr>
              <w:t>EUR</w:t>
            </w:r>
            <w:r w:rsidRPr="001F7737">
              <w:rPr>
                <w:rFonts w:ascii="Calibri Light" w:hAnsi="Calibri Light" w:cs="Calibri Light"/>
              </w:rPr>
              <w:t>), javni rashodi</w:t>
            </w:r>
          </w:p>
        </w:tc>
        <w:tc>
          <w:tcPr>
            <w:tcW w:w="2551" w:type="dxa"/>
            <w:gridSpan w:val="2"/>
          </w:tcPr>
          <w:p w14:paraId="259BA1F9" w14:textId="77777777" w:rsidR="00177BF4" w:rsidRPr="001F7737" w:rsidRDefault="00177BF4" w:rsidP="0017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Broj kreiranih radnih mjesta putem odobrenih/</w:t>
            </w:r>
          </w:p>
          <w:p w14:paraId="5EA185F4" w14:textId="77777777" w:rsidR="00177BF4" w:rsidRPr="001F7737" w:rsidRDefault="00177BF4" w:rsidP="0017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sufinanciranih projekata</w:t>
            </w:r>
          </w:p>
        </w:tc>
      </w:tr>
      <w:tr w:rsidR="00177BF4" w:rsidRPr="001F7737" w14:paraId="3F804B27" w14:textId="77777777" w:rsidTr="00210E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gridSpan w:val="2"/>
            <w:vMerge/>
          </w:tcPr>
          <w:p w14:paraId="1891F234" w14:textId="77777777" w:rsidR="00177BF4" w:rsidRPr="001F7737" w:rsidRDefault="00177BF4" w:rsidP="00177BF4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320575DB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Odobreno</w:t>
            </w:r>
          </w:p>
        </w:tc>
        <w:tc>
          <w:tcPr>
            <w:tcW w:w="1134" w:type="dxa"/>
          </w:tcPr>
          <w:p w14:paraId="1687188B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Isplaćeno</w:t>
            </w:r>
          </w:p>
        </w:tc>
        <w:tc>
          <w:tcPr>
            <w:tcW w:w="1134" w:type="dxa"/>
          </w:tcPr>
          <w:p w14:paraId="57C558FF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Odobreno</w:t>
            </w:r>
          </w:p>
        </w:tc>
        <w:tc>
          <w:tcPr>
            <w:tcW w:w="1134" w:type="dxa"/>
          </w:tcPr>
          <w:p w14:paraId="48F419EF" w14:textId="2D5384D6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Isplaćeno</w:t>
            </w:r>
          </w:p>
        </w:tc>
        <w:tc>
          <w:tcPr>
            <w:tcW w:w="2410" w:type="dxa"/>
          </w:tcPr>
          <w:p w14:paraId="5793C3DC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Odobreno</w:t>
            </w:r>
          </w:p>
        </w:tc>
        <w:tc>
          <w:tcPr>
            <w:tcW w:w="2268" w:type="dxa"/>
          </w:tcPr>
          <w:p w14:paraId="5ACDA730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Isplaćeno</w:t>
            </w:r>
          </w:p>
        </w:tc>
        <w:tc>
          <w:tcPr>
            <w:tcW w:w="1275" w:type="dxa"/>
          </w:tcPr>
          <w:p w14:paraId="1E93B53B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Odobreno</w:t>
            </w:r>
          </w:p>
        </w:tc>
        <w:tc>
          <w:tcPr>
            <w:tcW w:w="1276" w:type="dxa"/>
          </w:tcPr>
          <w:p w14:paraId="239C5547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Isplaćeno</w:t>
            </w:r>
          </w:p>
        </w:tc>
      </w:tr>
      <w:tr w:rsidR="00177BF4" w:rsidRPr="001F7737" w14:paraId="70277BD5" w14:textId="77777777" w:rsidTr="00210E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gridSpan w:val="2"/>
            <w:vMerge/>
          </w:tcPr>
          <w:p w14:paraId="37CFE026" w14:textId="77777777" w:rsidR="00177BF4" w:rsidRPr="001F7737" w:rsidRDefault="00177BF4" w:rsidP="00177BF4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3CD6E87F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2018.</w:t>
            </w:r>
          </w:p>
        </w:tc>
        <w:tc>
          <w:tcPr>
            <w:tcW w:w="1134" w:type="dxa"/>
          </w:tcPr>
          <w:p w14:paraId="1BA2300C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2025.</w:t>
            </w:r>
          </w:p>
        </w:tc>
        <w:tc>
          <w:tcPr>
            <w:tcW w:w="1134" w:type="dxa"/>
          </w:tcPr>
          <w:p w14:paraId="381A0304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2018.</w:t>
            </w:r>
          </w:p>
        </w:tc>
        <w:tc>
          <w:tcPr>
            <w:tcW w:w="1134" w:type="dxa"/>
          </w:tcPr>
          <w:p w14:paraId="58F2954E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2025.</w:t>
            </w:r>
          </w:p>
        </w:tc>
        <w:tc>
          <w:tcPr>
            <w:tcW w:w="2410" w:type="dxa"/>
          </w:tcPr>
          <w:p w14:paraId="6D56BDE8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2018.</w:t>
            </w:r>
          </w:p>
        </w:tc>
        <w:tc>
          <w:tcPr>
            <w:tcW w:w="2268" w:type="dxa"/>
          </w:tcPr>
          <w:p w14:paraId="33C04EB0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2025.</w:t>
            </w:r>
          </w:p>
        </w:tc>
        <w:tc>
          <w:tcPr>
            <w:tcW w:w="1275" w:type="dxa"/>
          </w:tcPr>
          <w:p w14:paraId="739794DE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2018.</w:t>
            </w:r>
          </w:p>
        </w:tc>
        <w:tc>
          <w:tcPr>
            <w:tcW w:w="1276" w:type="dxa"/>
          </w:tcPr>
          <w:p w14:paraId="19370E2C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2025.</w:t>
            </w:r>
          </w:p>
        </w:tc>
      </w:tr>
      <w:tr w:rsidR="00177BF4" w:rsidRPr="001F7737" w14:paraId="1AF6922A" w14:textId="77777777" w:rsidTr="00210E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5C69004" w14:textId="77777777" w:rsidR="00177BF4" w:rsidRPr="001F7737" w:rsidRDefault="00177BF4" w:rsidP="00177BF4">
            <w:pPr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UKUPNO LRS</w:t>
            </w:r>
          </w:p>
        </w:tc>
        <w:tc>
          <w:tcPr>
            <w:tcW w:w="1556" w:type="dxa"/>
          </w:tcPr>
          <w:p w14:paraId="1D8FCA30" w14:textId="77777777" w:rsidR="00177BF4" w:rsidRPr="001F7737" w:rsidRDefault="00177BF4" w:rsidP="0017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Ukupno LRS</w:t>
            </w:r>
          </w:p>
          <w:p w14:paraId="304C5A05" w14:textId="77777777" w:rsidR="00177BF4" w:rsidRPr="001F7737" w:rsidRDefault="00177BF4" w:rsidP="0017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(19.2/19.3/19.4)</w:t>
            </w:r>
          </w:p>
        </w:tc>
        <w:tc>
          <w:tcPr>
            <w:tcW w:w="1563" w:type="dxa"/>
          </w:tcPr>
          <w:p w14:paraId="7C264FB3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14,47</w:t>
            </w:r>
          </w:p>
        </w:tc>
        <w:tc>
          <w:tcPr>
            <w:tcW w:w="1134" w:type="dxa"/>
          </w:tcPr>
          <w:p w14:paraId="64CC76B8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100</w:t>
            </w:r>
          </w:p>
        </w:tc>
        <w:tc>
          <w:tcPr>
            <w:tcW w:w="1134" w:type="dxa"/>
          </w:tcPr>
          <w:p w14:paraId="12F351E1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14</w:t>
            </w:r>
          </w:p>
        </w:tc>
        <w:tc>
          <w:tcPr>
            <w:tcW w:w="1134" w:type="dxa"/>
          </w:tcPr>
          <w:p w14:paraId="1B98E0D5" w14:textId="6D0A6A8A" w:rsidR="00177BF4" w:rsidRPr="001F7737" w:rsidRDefault="00AD788D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86</w:t>
            </w:r>
          </w:p>
        </w:tc>
        <w:tc>
          <w:tcPr>
            <w:tcW w:w="2410" w:type="dxa"/>
          </w:tcPr>
          <w:p w14:paraId="52F618C7" w14:textId="38569979" w:rsidR="00177BF4" w:rsidRPr="001F7737" w:rsidRDefault="00AD788D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2.101.308,05 </w:t>
            </w:r>
            <w:r w:rsidR="0014285F" w:rsidRPr="00651450">
              <w:rPr>
                <w:rFonts w:asciiTheme="majorHAnsi" w:eastAsia="Times New Roman" w:hAnsiTheme="majorHAnsi" w:cstheme="majorHAnsi"/>
                <w:color w:val="000000"/>
                <w:lang w:eastAsia="hr-HR"/>
              </w:rPr>
              <w:t>€</w:t>
            </w:r>
          </w:p>
        </w:tc>
        <w:tc>
          <w:tcPr>
            <w:tcW w:w="2268" w:type="dxa"/>
          </w:tcPr>
          <w:p w14:paraId="46217C7C" w14:textId="1CE9D3A4" w:rsidR="00177BF4" w:rsidRPr="001F7737" w:rsidRDefault="00AD788D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2.042.106,89</w:t>
            </w:r>
            <w:r w:rsidR="0014285F">
              <w:rPr>
                <w:rFonts w:ascii="Calibri Light" w:hAnsi="Calibri Light" w:cs="Calibri Light"/>
              </w:rPr>
              <w:t xml:space="preserve"> </w:t>
            </w:r>
            <w:r w:rsidR="0014285F" w:rsidRPr="00651450">
              <w:rPr>
                <w:rFonts w:asciiTheme="majorHAnsi" w:eastAsia="Times New Roman" w:hAnsiTheme="majorHAnsi" w:cstheme="majorHAnsi"/>
                <w:color w:val="000000"/>
                <w:lang w:eastAsia="hr-HR"/>
              </w:rPr>
              <w:t>€</w:t>
            </w:r>
          </w:p>
        </w:tc>
        <w:tc>
          <w:tcPr>
            <w:tcW w:w="1275" w:type="dxa"/>
          </w:tcPr>
          <w:p w14:paraId="0DB173FF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276" w:type="dxa"/>
          </w:tcPr>
          <w:p w14:paraId="6BBBB408" w14:textId="03FE8471" w:rsidR="00177BF4" w:rsidRPr="001F7737" w:rsidRDefault="00C7479F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</w:p>
        </w:tc>
      </w:tr>
      <w:tr w:rsidR="00177BF4" w:rsidRPr="001F7737" w14:paraId="73B9CBA7" w14:textId="77777777" w:rsidTr="00210E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0522775" w14:textId="77777777" w:rsidR="00177BF4" w:rsidRPr="001F7737" w:rsidRDefault="00177BF4" w:rsidP="00177BF4">
            <w:pPr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Strateški cilj LRS</w:t>
            </w:r>
          </w:p>
        </w:tc>
        <w:tc>
          <w:tcPr>
            <w:tcW w:w="13750" w:type="dxa"/>
            <w:gridSpan w:val="9"/>
          </w:tcPr>
          <w:p w14:paraId="6AC070F1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proofErr w:type="spellStart"/>
            <w:r w:rsidRPr="001F7737">
              <w:rPr>
                <w:rFonts w:ascii="Calibri Light" w:hAnsi="Calibri Light" w:cs="Calibri Light"/>
              </w:rPr>
              <w:t>Podmjera</w:t>
            </w:r>
            <w:proofErr w:type="spellEnd"/>
            <w:r w:rsidRPr="001F7737">
              <w:rPr>
                <w:rFonts w:ascii="Calibri Light" w:hAnsi="Calibri Light" w:cs="Calibri Light"/>
              </w:rPr>
              <w:t xml:space="preserve"> Programa ruralnog razvoja 2014-2020 (u daljnjem tekstu </w:t>
            </w:r>
            <w:proofErr w:type="spellStart"/>
            <w:r w:rsidRPr="001F7737">
              <w:rPr>
                <w:rFonts w:ascii="Calibri Light" w:hAnsi="Calibri Light" w:cs="Calibri Light"/>
              </w:rPr>
              <w:t>PRR</w:t>
            </w:r>
            <w:proofErr w:type="spellEnd"/>
            <w:r w:rsidRPr="001F7737">
              <w:rPr>
                <w:rFonts w:ascii="Calibri Light" w:hAnsi="Calibri Light" w:cs="Calibri Light"/>
              </w:rPr>
              <w:t>) M19</w:t>
            </w:r>
          </w:p>
        </w:tc>
      </w:tr>
      <w:tr w:rsidR="00177BF4" w:rsidRPr="001F7737" w14:paraId="62EF487D" w14:textId="77777777" w:rsidTr="00210E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39C6C8CB" w14:textId="77777777" w:rsidR="00177BF4" w:rsidRPr="001F7737" w:rsidRDefault="00177BF4" w:rsidP="00177BF4">
            <w:pPr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SC 1</w:t>
            </w:r>
          </w:p>
        </w:tc>
        <w:tc>
          <w:tcPr>
            <w:tcW w:w="1556" w:type="dxa"/>
          </w:tcPr>
          <w:p w14:paraId="1A11E8CB" w14:textId="77777777" w:rsidR="00177BF4" w:rsidRPr="001F7737" w:rsidRDefault="00177BF4" w:rsidP="0017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 xml:space="preserve">Ukupno LRS </w:t>
            </w:r>
          </w:p>
        </w:tc>
        <w:tc>
          <w:tcPr>
            <w:tcW w:w="1563" w:type="dxa"/>
          </w:tcPr>
          <w:p w14:paraId="3C1C6D71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9,88</w:t>
            </w:r>
          </w:p>
        </w:tc>
        <w:tc>
          <w:tcPr>
            <w:tcW w:w="1134" w:type="dxa"/>
          </w:tcPr>
          <w:p w14:paraId="299F5CA6" w14:textId="0281DE92" w:rsidR="00177BF4" w:rsidRPr="001F7737" w:rsidRDefault="004B1972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53,51</w:t>
            </w:r>
          </w:p>
        </w:tc>
        <w:tc>
          <w:tcPr>
            <w:tcW w:w="1134" w:type="dxa"/>
          </w:tcPr>
          <w:p w14:paraId="61B2028D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14</w:t>
            </w:r>
          </w:p>
        </w:tc>
        <w:tc>
          <w:tcPr>
            <w:tcW w:w="1134" w:type="dxa"/>
          </w:tcPr>
          <w:p w14:paraId="0518C88C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67</w:t>
            </w:r>
          </w:p>
        </w:tc>
        <w:tc>
          <w:tcPr>
            <w:tcW w:w="2410" w:type="dxa"/>
          </w:tcPr>
          <w:p w14:paraId="22D256DD" w14:textId="69698622" w:rsidR="00177BF4" w:rsidRPr="001F7737" w:rsidRDefault="002C5703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207.511,05</w:t>
            </w:r>
            <w:r w:rsidRPr="00651450">
              <w:rPr>
                <w:rFonts w:asciiTheme="majorHAnsi" w:eastAsia="Times New Roman" w:hAnsiTheme="majorHAnsi" w:cstheme="majorHAnsi"/>
                <w:color w:val="000000"/>
                <w:lang w:eastAsia="hr-HR"/>
              </w:rPr>
              <w:t>€</w:t>
            </w:r>
          </w:p>
        </w:tc>
        <w:tc>
          <w:tcPr>
            <w:tcW w:w="2268" w:type="dxa"/>
          </w:tcPr>
          <w:p w14:paraId="7A5B1201" w14:textId="24D7145F" w:rsidR="00177BF4" w:rsidRPr="001F7737" w:rsidRDefault="00B65D4E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eastAsia="zh-CN"/>
              </w:rPr>
            </w:pPr>
            <w:r>
              <w:rPr>
                <w:rFonts w:ascii="Calibri Light" w:hAnsi="Calibri Light" w:cs="Calibri Light"/>
                <w:lang w:eastAsia="zh-CN"/>
              </w:rPr>
              <w:t>1.124.405,77</w:t>
            </w:r>
            <w:r w:rsidR="00177BF4" w:rsidRPr="001F7737">
              <w:rPr>
                <w:rFonts w:ascii="Calibri Light" w:hAnsi="Calibri Light" w:cs="Calibri Light"/>
                <w:lang w:eastAsia="zh-CN"/>
              </w:rPr>
              <w:t xml:space="preserve"> </w:t>
            </w:r>
            <w:r w:rsidR="00FB1C3B" w:rsidRPr="00651450">
              <w:rPr>
                <w:rFonts w:asciiTheme="majorHAnsi" w:eastAsia="Times New Roman" w:hAnsiTheme="majorHAnsi" w:cstheme="majorHAnsi"/>
                <w:color w:val="000000"/>
                <w:lang w:eastAsia="hr-HR"/>
              </w:rPr>
              <w:t>€</w:t>
            </w:r>
          </w:p>
        </w:tc>
        <w:tc>
          <w:tcPr>
            <w:tcW w:w="1275" w:type="dxa"/>
          </w:tcPr>
          <w:p w14:paraId="12CEB9A3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276" w:type="dxa"/>
          </w:tcPr>
          <w:p w14:paraId="1FB44CB4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1</w:t>
            </w:r>
          </w:p>
        </w:tc>
      </w:tr>
      <w:tr w:rsidR="00177BF4" w:rsidRPr="001F7737" w14:paraId="67F31ED9" w14:textId="77777777" w:rsidTr="00210E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0BCDEF8" w14:textId="77777777" w:rsidR="00177BF4" w:rsidRPr="001F7737" w:rsidRDefault="00177BF4" w:rsidP="00177BF4">
            <w:pPr>
              <w:rPr>
                <w:rFonts w:ascii="Calibri Light" w:hAnsi="Calibri Light" w:cs="Calibri Light"/>
              </w:rPr>
            </w:pPr>
          </w:p>
        </w:tc>
        <w:tc>
          <w:tcPr>
            <w:tcW w:w="1556" w:type="dxa"/>
          </w:tcPr>
          <w:p w14:paraId="38C297BA" w14:textId="77777777" w:rsidR="00177BF4" w:rsidRPr="001F7737" w:rsidRDefault="00177BF4" w:rsidP="0017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19.2</w:t>
            </w:r>
          </w:p>
        </w:tc>
        <w:tc>
          <w:tcPr>
            <w:tcW w:w="1563" w:type="dxa"/>
          </w:tcPr>
          <w:p w14:paraId="1C4386ED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17,87</w:t>
            </w:r>
          </w:p>
        </w:tc>
        <w:tc>
          <w:tcPr>
            <w:tcW w:w="1134" w:type="dxa"/>
          </w:tcPr>
          <w:p w14:paraId="659BE918" w14:textId="551EBC7E" w:rsidR="00177BF4" w:rsidRPr="001F7737" w:rsidRDefault="004B1972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67,15</w:t>
            </w:r>
          </w:p>
        </w:tc>
        <w:tc>
          <w:tcPr>
            <w:tcW w:w="1134" w:type="dxa"/>
          </w:tcPr>
          <w:p w14:paraId="294A23FF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14</w:t>
            </w:r>
          </w:p>
        </w:tc>
        <w:tc>
          <w:tcPr>
            <w:tcW w:w="1134" w:type="dxa"/>
          </w:tcPr>
          <w:p w14:paraId="1C53C528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67</w:t>
            </w:r>
          </w:p>
        </w:tc>
        <w:tc>
          <w:tcPr>
            <w:tcW w:w="2410" w:type="dxa"/>
          </w:tcPr>
          <w:p w14:paraId="54BF4900" w14:textId="71BFB8ED" w:rsidR="00177BF4" w:rsidRPr="001F7737" w:rsidRDefault="002C5703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207.511,05</w:t>
            </w:r>
            <w:r w:rsidRPr="00651450">
              <w:rPr>
                <w:rFonts w:asciiTheme="majorHAnsi" w:eastAsia="Times New Roman" w:hAnsiTheme="majorHAnsi" w:cstheme="majorHAnsi"/>
                <w:color w:val="000000"/>
                <w:lang w:eastAsia="hr-HR"/>
              </w:rPr>
              <w:t>€</w:t>
            </w:r>
          </w:p>
        </w:tc>
        <w:tc>
          <w:tcPr>
            <w:tcW w:w="2268" w:type="dxa"/>
          </w:tcPr>
          <w:p w14:paraId="49606B0D" w14:textId="4F21677A" w:rsidR="00177BF4" w:rsidRPr="001F7737" w:rsidRDefault="00B65D4E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lang w:eastAsia="zh-CN"/>
              </w:rPr>
              <w:t>1.124.405,77</w:t>
            </w:r>
            <w:r w:rsidRPr="001F7737">
              <w:rPr>
                <w:rFonts w:ascii="Calibri Light" w:hAnsi="Calibri Light" w:cs="Calibri Light"/>
                <w:lang w:eastAsia="zh-CN"/>
              </w:rPr>
              <w:t xml:space="preserve"> </w:t>
            </w:r>
            <w:r w:rsidR="00FB1C3B" w:rsidRPr="00651450">
              <w:rPr>
                <w:rFonts w:asciiTheme="majorHAnsi" w:eastAsia="Times New Roman" w:hAnsiTheme="majorHAnsi" w:cstheme="majorHAnsi"/>
                <w:color w:val="000000"/>
                <w:lang w:eastAsia="hr-HR"/>
              </w:rPr>
              <w:t>€</w:t>
            </w:r>
          </w:p>
        </w:tc>
        <w:tc>
          <w:tcPr>
            <w:tcW w:w="1275" w:type="dxa"/>
          </w:tcPr>
          <w:p w14:paraId="12F7BAB3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276" w:type="dxa"/>
          </w:tcPr>
          <w:p w14:paraId="44C22ADC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1</w:t>
            </w:r>
          </w:p>
        </w:tc>
      </w:tr>
      <w:tr w:rsidR="00177BF4" w:rsidRPr="001F7737" w14:paraId="18C34483" w14:textId="77777777" w:rsidTr="00210E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74F35E5E" w14:textId="77777777" w:rsidR="00177BF4" w:rsidRPr="001F7737" w:rsidRDefault="00177BF4" w:rsidP="00177BF4">
            <w:pPr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SC 2</w:t>
            </w:r>
          </w:p>
        </w:tc>
        <w:tc>
          <w:tcPr>
            <w:tcW w:w="1556" w:type="dxa"/>
          </w:tcPr>
          <w:p w14:paraId="37783FCC" w14:textId="77777777" w:rsidR="00177BF4" w:rsidRPr="001F7737" w:rsidRDefault="00177BF4" w:rsidP="0017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Ukupno LRS</w:t>
            </w:r>
          </w:p>
          <w:p w14:paraId="1B34547F" w14:textId="77777777" w:rsidR="00177BF4" w:rsidRPr="001F7737" w:rsidRDefault="00177BF4" w:rsidP="0017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(19.2/19.3/19.4)</w:t>
            </w:r>
          </w:p>
        </w:tc>
        <w:tc>
          <w:tcPr>
            <w:tcW w:w="1563" w:type="dxa"/>
          </w:tcPr>
          <w:p w14:paraId="419A4861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2,30</w:t>
            </w:r>
          </w:p>
        </w:tc>
        <w:tc>
          <w:tcPr>
            <w:tcW w:w="1134" w:type="dxa"/>
          </w:tcPr>
          <w:p w14:paraId="56D78C93" w14:textId="01D85FF0" w:rsidR="00177BF4" w:rsidRPr="001F7737" w:rsidRDefault="004B1972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43,67</w:t>
            </w:r>
          </w:p>
        </w:tc>
        <w:tc>
          <w:tcPr>
            <w:tcW w:w="1134" w:type="dxa"/>
          </w:tcPr>
          <w:p w14:paraId="2638CD5A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134" w:type="dxa"/>
          </w:tcPr>
          <w:p w14:paraId="6C2AC963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19</w:t>
            </w:r>
          </w:p>
        </w:tc>
        <w:tc>
          <w:tcPr>
            <w:tcW w:w="2410" w:type="dxa"/>
          </w:tcPr>
          <w:p w14:paraId="407CD70C" w14:textId="32B1B318" w:rsidR="00177BF4" w:rsidRPr="001F7737" w:rsidRDefault="008C75A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129.012,42 </w:t>
            </w:r>
            <w:r w:rsidRPr="00651450">
              <w:rPr>
                <w:rFonts w:asciiTheme="majorHAnsi" w:eastAsia="Times New Roman" w:hAnsiTheme="majorHAnsi" w:cstheme="majorHAnsi"/>
                <w:color w:val="000000"/>
                <w:lang w:eastAsia="hr-HR"/>
              </w:rPr>
              <w:t>€</w:t>
            </w:r>
          </w:p>
        </w:tc>
        <w:tc>
          <w:tcPr>
            <w:tcW w:w="2268" w:type="dxa"/>
          </w:tcPr>
          <w:p w14:paraId="1052B969" w14:textId="42382EC8" w:rsidR="00177BF4" w:rsidRPr="001F7737" w:rsidRDefault="00B65D4E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lang w:eastAsia="hr-HR"/>
              </w:rPr>
              <w:t>917.701,12</w:t>
            </w:r>
            <w:r w:rsidR="00A708C4" w:rsidRPr="00651450">
              <w:rPr>
                <w:rFonts w:asciiTheme="majorHAnsi" w:eastAsia="Times New Roman" w:hAnsiTheme="majorHAnsi" w:cstheme="majorHAnsi"/>
                <w:color w:val="000000"/>
                <w:lang w:eastAsia="hr-HR"/>
              </w:rPr>
              <w:t>€</w:t>
            </w:r>
          </w:p>
        </w:tc>
        <w:tc>
          <w:tcPr>
            <w:tcW w:w="1275" w:type="dxa"/>
          </w:tcPr>
          <w:p w14:paraId="509FA0A6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276" w:type="dxa"/>
          </w:tcPr>
          <w:p w14:paraId="16E2E04A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2</w:t>
            </w:r>
          </w:p>
        </w:tc>
      </w:tr>
      <w:tr w:rsidR="00177BF4" w:rsidRPr="001F7737" w14:paraId="0FF7B134" w14:textId="77777777" w:rsidTr="00210E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6280FF6" w14:textId="77777777" w:rsidR="00177BF4" w:rsidRPr="001F7737" w:rsidRDefault="00177BF4" w:rsidP="00177BF4">
            <w:pPr>
              <w:rPr>
                <w:rFonts w:ascii="Calibri Light" w:hAnsi="Calibri Light" w:cs="Calibri Light"/>
              </w:rPr>
            </w:pPr>
          </w:p>
        </w:tc>
        <w:tc>
          <w:tcPr>
            <w:tcW w:w="1556" w:type="dxa"/>
          </w:tcPr>
          <w:p w14:paraId="19F916F4" w14:textId="77777777" w:rsidR="00177BF4" w:rsidRPr="001F7737" w:rsidRDefault="00177BF4" w:rsidP="0017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19.2</w:t>
            </w:r>
          </w:p>
        </w:tc>
        <w:tc>
          <w:tcPr>
            <w:tcW w:w="1563" w:type="dxa"/>
          </w:tcPr>
          <w:p w14:paraId="03F2462B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134" w:type="dxa"/>
          </w:tcPr>
          <w:p w14:paraId="007A8397" w14:textId="54B9EDCB" w:rsidR="00177BF4" w:rsidRPr="001F7737" w:rsidRDefault="00B65D4E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23,74</w:t>
            </w:r>
          </w:p>
        </w:tc>
        <w:tc>
          <w:tcPr>
            <w:tcW w:w="1134" w:type="dxa"/>
          </w:tcPr>
          <w:p w14:paraId="7716F285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134" w:type="dxa"/>
          </w:tcPr>
          <w:p w14:paraId="4662E123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18</w:t>
            </w:r>
          </w:p>
        </w:tc>
        <w:tc>
          <w:tcPr>
            <w:tcW w:w="2410" w:type="dxa"/>
          </w:tcPr>
          <w:p w14:paraId="5A63D4A7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  <w:lang w:eastAsia="zh-CN"/>
              </w:rPr>
              <w:t>0</w:t>
            </w:r>
          </w:p>
        </w:tc>
        <w:tc>
          <w:tcPr>
            <w:tcW w:w="2268" w:type="dxa"/>
          </w:tcPr>
          <w:p w14:paraId="42E1FBCF" w14:textId="5E84B62B" w:rsidR="00177BF4" w:rsidRPr="001F7737" w:rsidRDefault="004F5680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lang w:eastAsia="zh-CN"/>
              </w:rPr>
              <w:t>498.837,45</w:t>
            </w:r>
            <w:r w:rsidR="00712378">
              <w:rPr>
                <w:rFonts w:ascii="Calibri Light" w:hAnsi="Calibri Light" w:cs="Calibri Light"/>
                <w:lang w:eastAsia="zh-CN"/>
              </w:rPr>
              <w:t xml:space="preserve"> </w:t>
            </w:r>
            <w:r w:rsidR="00712378" w:rsidRPr="00651450">
              <w:rPr>
                <w:rFonts w:asciiTheme="majorHAnsi" w:eastAsia="Times New Roman" w:hAnsiTheme="majorHAnsi" w:cstheme="majorHAnsi"/>
                <w:color w:val="000000"/>
                <w:lang w:eastAsia="hr-HR"/>
              </w:rPr>
              <w:t>€</w:t>
            </w:r>
          </w:p>
        </w:tc>
        <w:tc>
          <w:tcPr>
            <w:tcW w:w="1275" w:type="dxa"/>
          </w:tcPr>
          <w:p w14:paraId="728618AD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276" w:type="dxa"/>
          </w:tcPr>
          <w:p w14:paraId="1D6D94F1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0</w:t>
            </w:r>
          </w:p>
        </w:tc>
      </w:tr>
      <w:tr w:rsidR="00177BF4" w:rsidRPr="001F7737" w14:paraId="71944B8B" w14:textId="77777777" w:rsidTr="00210E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2C55CE97" w14:textId="77777777" w:rsidR="00177BF4" w:rsidRPr="001F7737" w:rsidRDefault="00177BF4" w:rsidP="00177BF4">
            <w:pPr>
              <w:rPr>
                <w:rFonts w:ascii="Calibri Light" w:hAnsi="Calibri Light" w:cs="Calibri Light"/>
              </w:rPr>
            </w:pPr>
          </w:p>
        </w:tc>
        <w:tc>
          <w:tcPr>
            <w:tcW w:w="1556" w:type="dxa"/>
          </w:tcPr>
          <w:p w14:paraId="72E34142" w14:textId="77777777" w:rsidR="00177BF4" w:rsidRPr="001F7737" w:rsidRDefault="00177BF4" w:rsidP="0017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19.3</w:t>
            </w:r>
          </w:p>
        </w:tc>
        <w:tc>
          <w:tcPr>
            <w:tcW w:w="1563" w:type="dxa"/>
          </w:tcPr>
          <w:p w14:paraId="134B68FB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134" w:type="dxa"/>
          </w:tcPr>
          <w:p w14:paraId="4F071D28" w14:textId="6AD6C378" w:rsidR="00177BF4" w:rsidRPr="001F7737" w:rsidRDefault="00B65D4E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1,86</w:t>
            </w:r>
          </w:p>
        </w:tc>
        <w:tc>
          <w:tcPr>
            <w:tcW w:w="1134" w:type="dxa"/>
          </w:tcPr>
          <w:p w14:paraId="5EF6554E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134" w:type="dxa"/>
          </w:tcPr>
          <w:p w14:paraId="2B338002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410" w:type="dxa"/>
          </w:tcPr>
          <w:p w14:paraId="71C28B10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2268" w:type="dxa"/>
          </w:tcPr>
          <w:p w14:paraId="4F5DE9CF" w14:textId="4066C0EF" w:rsidR="00177BF4" w:rsidRPr="001F7737" w:rsidRDefault="004F5680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lang w:eastAsia="zh-CN"/>
              </w:rPr>
              <w:t>39.184,45</w:t>
            </w:r>
            <w:r w:rsidR="004D1898">
              <w:rPr>
                <w:rFonts w:ascii="Calibri Light" w:hAnsi="Calibri Light" w:cs="Calibri Light"/>
                <w:lang w:eastAsia="zh-CN"/>
              </w:rPr>
              <w:t xml:space="preserve"> </w:t>
            </w:r>
            <w:r w:rsidR="004D1898" w:rsidRPr="00651450">
              <w:rPr>
                <w:rFonts w:asciiTheme="majorHAnsi" w:eastAsia="Times New Roman" w:hAnsiTheme="majorHAnsi" w:cstheme="majorHAnsi"/>
                <w:color w:val="000000"/>
                <w:lang w:eastAsia="hr-HR"/>
              </w:rPr>
              <w:t>€</w:t>
            </w:r>
          </w:p>
        </w:tc>
        <w:tc>
          <w:tcPr>
            <w:tcW w:w="1275" w:type="dxa"/>
          </w:tcPr>
          <w:p w14:paraId="60DF93EC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276" w:type="dxa"/>
          </w:tcPr>
          <w:p w14:paraId="7C3AA9E2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0</w:t>
            </w:r>
          </w:p>
        </w:tc>
      </w:tr>
      <w:tr w:rsidR="00177BF4" w:rsidRPr="001F7737" w14:paraId="39320E02" w14:textId="77777777" w:rsidTr="00210E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1230ADB" w14:textId="77777777" w:rsidR="00177BF4" w:rsidRPr="001F7737" w:rsidRDefault="00177BF4" w:rsidP="00177BF4">
            <w:pPr>
              <w:rPr>
                <w:rFonts w:ascii="Calibri Light" w:hAnsi="Calibri Light" w:cs="Calibri Light"/>
              </w:rPr>
            </w:pPr>
          </w:p>
        </w:tc>
        <w:tc>
          <w:tcPr>
            <w:tcW w:w="1556" w:type="dxa"/>
          </w:tcPr>
          <w:p w14:paraId="18645B0A" w14:textId="77777777" w:rsidR="00177BF4" w:rsidRPr="001F7737" w:rsidRDefault="00177BF4" w:rsidP="0017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19.4</w:t>
            </w:r>
          </w:p>
        </w:tc>
        <w:tc>
          <w:tcPr>
            <w:tcW w:w="1563" w:type="dxa"/>
          </w:tcPr>
          <w:p w14:paraId="5D053C30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2,30</w:t>
            </w:r>
          </w:p>
        </w:tc>
        <w:tc>
          <w:tcPr>
            <w:tcW w:w="1134" w:type="dxa"/>
          </w:tcPr>
          <w:p w14:paraId="2CE2E810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18,07</w:t>
            </w:r>
          </w:p>
        </w:tc>
        <w:tc>
          <w:tcPr>
            <w:tcW w:w="1134" w:type="dxa"/>
          </w:tcPr>
          <w:p w14:paraId="17ED7380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N/A</w:t>
            </w:r>
          </w:p>
        </w:tc>
        <w:tc>
          <w:tcPr>
            <w:tcW w:w="1134" w:type="dxa"/>
          </w:tcPr>
          <w:p w14:paraId="0B74A622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N/A</w:t>
            </w:r>
          </w:p>
        </w:tc>
        <w:tc>
          <w:tcPr>
            <w:tcW w:w="2410" w:type="dxa"/>
          </w:tcPr>
          <w:p w14:paraId="15161569" w14:textId="71C39720" w:rsidR="00177BF4" w:rsidRPr="001F7737" w:rsidRDefault="004D1898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48.322,02 </w:t>
            </w:r>
            <w:r w:rsidRPr="00651450">
              <w:rPr>
                <w:rFonts w:asciiTheme="majorHAnsi" w:eastAsia="Times New Roman" w:hAnsiTheme="majorHAnsi" w:cstheme="majorHAnsi"/>
                <w:color w:val="000000"/>
                <w:lang w:eastAsia="hr-HR"/>
              </w:rPr>
              <w:t>€</w:t>
            </w:r>
          </w:p>
        </w:tc>
        <w:tc>
          <w:tcPr>
            <w:tcW w:w="2268" w:type="dxa"/>
          </w:tcPr>
          <w:p w14:paraId="0B401352" w14:textId="01BA6F69" w:rsidR="00177BF4" w:rsidRPr="001F7737" w:rsidRDefault="00F6116D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hr-HR"/>
              </w:rPr>
              <w:t xml:space="preserve">379.679,22 </w:t>
            </w:r>
            <w:r w:rsidR="004D1898" w:rsidRPr="00651450">
              <w:rPr>
                <w:rFonts w:asciiTheme="majorHAnsi" w:eastAsia="Times New Roman" w:hAnsiTheme="majorHAnsi" w:cstheme="majorHAnsi"/>
                <w:color w:val="000000"/>
                <w:lang w:eastAsia="hr-HR"/>
              </w:rPr>
              <w:t>€</w:t>
            </w:r>
          </w:p>
        </w:tc>
        <w:tc>
          <w:tcPr>
            <w:tcW w:w="1275" w:type="dxa"/>
          </w:tcPr>
          <w:p w14:paraId="3431F0C7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276" w:type="dxa"/>
          </w:tcPr>
          <w:p w14:paraId="7AEEE0C6" w14:textId="77777777" w:rsidR="00177BF4" w:rsidRPr="001F7737" w:rsidRDefault="00177BF4" w:rsidP="00177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F7737">
              <w:rPr>
                <w:rFonts w:ascii="Calibri Light" w:hAnsi="Calibri Light" w:cs="Calibri Light"/>
              </w:rPr>
              <w:t>2</w:t>
            </w:r>
          </w:p>
        </w:tc>
      </w:tr>
    </w:tbl>
    <w:p w14:paraId="529E9963" w14:textId="37985A13" w:rsidR="00DE2513" w:rsidRDefault="00DE251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46351" wp14:editId="292BFDA6">
                <wp:simplePos x="0" y="0"/>
                <wp:positionH relativeFrom="column">
                  <wp:posOffset>-446571</wp:posOffset>
                </wp:positionH>
                <wp:positionV relativeFrom="paragraph">
                  <wp:posOffset>-282768</wp:posOffset>
                </wp:positionV>
                <wp:extent cx="9583387" cy="1248355"/>
                <wp:effectExtent l="0" t="0" r="0" b="9525"/>
                <wp:wrapNone/>
                <wp:docPr id="11751030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3387" cy="1248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CC21E9" w14:textId="77777777" w:rsidR="00DE2513" w:rsidRPr="0050740D" w:rsidRDefault="00DE2513" w:rsidP="00CD198C">
                            <w:pPr>
                              <w:pStyle w:val="Naslov1"/>
                              <w:rPr>
                                <w:bCs/>
                              </w:rPr>
                            </w:pPr>
                            <w:bookmarkStart w:id="18" w:name="_Toc163556543"/>
                            <w:bookmarkStart w:id="19" w:name="_Toc212823175"/>
                            <w:r w:rsidRPr="0050740D">
                              <w:t>Očekivani rezultati i indikatori LRS LAG-a SAVA</w:t>
                            </w:r>
                            <w:r w:rsidRPr="0050740D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50740D">
                              <w:t>2014-2020</w:t>
                            </w:r>
                            <w:bookmarkEnd w:id="18"/>
                            <w:bookmarkEnd w:id="19"/>
                          </w:p>
                          <w:p w14:paraId="3E3DD557" w14:textId="77777777" w:rsidR="00DE2513" w:rsidRPr="0050740D" w:rsidRDefault="00DE2513" w:rsidP="00DE2513">
                            <w:pPr>
                              <w:pStyle w:val="Bezproreda"/>
                              <w:spacing w:line="360" w:lineRule="auto"/>
                              <w:jc w:val="both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14:paraId="04B2B125" w14:textId="77777777" w:rsidR="00177BF4" w:rsidRDefault="00DE2513" w:rsidP="00DE2513">
                            <w:pPr>
                              <w:pStyle w:val="Bezproreda"/>
                              <w:spacing w:line="360" w:lineRule="auto"/>
                              <w:jc w:val="both"/>
                              <w:rPr>
                                <w:rFonts w:ascii="Calibri Light" w:eastAsia="Calibri" w:hAnsi="Calibri Light" w:cs="Calibri Light"/>
                                <w:sz w:val="24"/>
                                <w:szCs w:val="24"/>
                              </w:rPr>
                            </w:pPr>
                            <w:r w:rsidRPr="0050740D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Tablica</w:t>
                            </w:r>
                            <w:r w:rsidR="00E63763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4</w:t>
                            </w:r>
                            <w:r w:rsidRPr="0050740D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: Vrednovanje provedbe ukupne LRS putem krovnih pokazatelja (indikatora) rezultata 2018. i do kraja programskog i realizacijskog razdoblja 2025.</w:t>
                            </w:r>
                            <w:r w:rsidRPr="0050740D">
                              <w:rPr>
                                <w:rFonts w:ascii="Calibri Light" w:eastAsia="Calibri" w:hAnsi="Calibri Light" w:cs="Calibri Ligh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A91A042" w14:textId="104AB021" w:rsidR="00DE2513" w:rsidRPr="0050740D" w:rsidRDefault="00177BF4" w:rsidP="00177BF4">
                            <w:pPr>
                              <w:pStyle w:val="Bezproreda"/>
                              <w:spacing w:line="360" w:lineRule="auto"/>
                              <w:rPr>
                                <w:rFonts w:ascii="Calibri Light" w:eastAsia="Calibri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eastAsia="Calibri" w:hAnsi="Calibri Light" w:cs="Calibri Light"/>
                                <w:sz w:val="24"/>
                                <w:szCs w:val="24"/>
                              </w:rPr>
                              <w:t>*Preračunavanje iz HRK u EUR-e korištenjem tečaja 7,5345</w:t>
                            </w:r>
                            <w:r>
                              <w:rPr>
                                <w:rFonts w:ascii="Calibri Light" w:eastAsia="Calibri" w:hAnsi="Calibri Light" w:cs="Calibri Light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6496DB3" w14:textId="77777777" w:rsidR="00DE2513" w:rsidRDefault="00DE25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4635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35.15pt;margin-top:-22.25pt;width:754.6pt;height:98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" fillcolor="white [3201]" stroked="f" strokeweight=".5pt">
                <v:textbox>
                  <w:txbxContent>
                    <w:p w14:paraId="7CCC21E9" w14:textId="77777777" w:rsidR="00DE2513" w:rsidRPr="0050740D" w:rsidRDefault="00DE2513" w:rsidP="00CD198C">
                      <w:pPr>
                        <w:pStyle w:val="Naslov1"/>
                        <w:rPr>
                          <w:bCs/>
                        </w:rPr>
                      </w:pPr>
                      <w:bookmarkStart w:id="20" w:name="_Toc163556543"/>
                      <w:bookmarkStart w:id="21" w:name="_Toc212823175"/>
                      <w:r w:rsidRPr="0050740D">
                        <w:t>Očekivani rezultati i indikatori LRS LAG-a SAVA</w:t>
                      </w:r>
                      <w:r w:rsidRPr="0050740D">
                        <w:rPr>
                          <w:spacing w:val="-9"/>
                        </w:rPr>
                        <w:t xml:space="preserve"> </w:t>
                      </w:r>
                      <w:r w:rsidRPr="0050740D">
                        <w:t>2014-2020</w:t>
                      </w:r>
                      <w:bookmarkEnd w:id="20"/>
                      <w:bookmarkEnd w:id="21"/>
                    </w:p>
                    <w:p w14:paraId="3E3DD557" w14:textId="77777777" w:rsidR="00DE2513" w:rsidRPr="0050740D" w:rsidRDefault="00DE2513" w:rsidP="00DE2513">
                      <w:pPr>
                        <w:pStyle w:val="Bezproreda"/>
                        <w:spacing w:line="360" w:lineRule="auto"/>
                        <w:jc w:val="both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14:paraId="04B2B125" w14:textId="77777777" w:rsidR="00177BF4" w:rsidRDefault="00DE2513" w:rsidP="00DE2513">
                      <w:pPr>
                        <w:pStyle w:val="Bezproreda"/>
                        <w:spacing w:line="360" w:lineRule="auto"/>
                        <w:jc w:val="both"/>
                        <w:rPr>
                          <w:rFonts w:ascii="Calibri Light" w:eastAsia="Calibri" w:hAnsi="Calibri Light" w:cs="Calibri Light"/>
                          <w:sz w:val="24"/>
                          <w:szCs w:val="24"/>
                        </w:rPr>
                      </w:pPr>
                      <w:r w:rsidRPr="0050740D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Tablica</w:t>
                      </w:r>
                      <w:r w:rsidR="00E63763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4</w:t>
                      </w:r>
                      <w:r w:rsidRPr="0050740D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: Vrednovanje provedbe ukupne LRS putem krovnih pokazatelja (indikatora) rezultata 2018. i do kraja programskog i realizacijskog razdoblja 2025.</w:t>
                      </w:r>
                      <w:r w:rsidRPr="0050740D">
                        <w:rPr>
                          <w:rFonts w:ascii="Calibri Light" w:eastAsia="Calibri" w:hAnsi="Calibri Light" w:cs="Calibri Light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A91A042" w14:textId="104AB021" w:rsidR="00DE2513" w:rsidRPr="0050740D" w:rsidRDefault="00177BF4" w:rsidP="00177BF4">
                      <w:pPr>
                        <w:pStyle w:val="Bezproreda"/>
                        <w:spacing w:line="360" w:lineRule="auto"/>
                        <w:rPr>
                          <w:rFonts w:ascii="Calibri Light" w:eastAsia="Calibri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eastAsia="Calibri" w:hAnsi="Calibri Light" w:cs="Calibri Light"/>
                          <w:sz w:val="24"/>
                          <w:szCs w:val="24"/>
                        </w:rPr>
                        <w:t>*Preračunavanje iz HRK u EUR-e korištenjem tečaja 7,5345</w:t>
                      </w:r>
                      <w:r>
                        <w:rPr>
                          <w:rFonts w:ascii="Calibri Light" w:eastAsia="Calibri" w:hAnsi="Calibri Light" w:cs="Calibri Light"/>
                          <w:sz w:val="24"/>
                          <w:szCs w:val="24"/>
                        </w:rPr>
                        <w:br/>
                      </w:r>
                    </w:p>
                    <w:p w14:paraId="06496DB3" w14:textId="77777777" w:rsidR="00DE2513" w:rsidRDefault="00DE2513"/>
                  </w:txbxContent>
                </v:textbox>
              </v:shape>
            </w:pict>
          </mc:Fallback>
        </mc:AlternateContent>
      </w:r>
    </w:p>
    <w:p w14:paraId="4574E6E0" w14:textId="77777777" w:rsidR="00DE2513" w:rsidRDefault="00DE2513">
      <w:pPr>
        <w:rPr>
          <w:rFonts w:asciiTheme="majorHAnsi" w:hAnsiTheme="majorHAnsi" w:cstheme="majorHAnsi"/>
        </w:rPr>
      </w:pPr>
    </w:p>
    <w:p w14:paraId="4DEDA5D3" w14:textId="77777777" w:rsidR="00E47562" w:rsidRPr="00E47562" w:rsidRDefault="00E47562" w:rsidP="00E47562">
      <w:pPr>
        <w:rPr>
          <w:rFonts w:asciiTheme="majorHAnsi" w:hAnsiTheme="majorHAnsi" w:cstheme="majorHAnsi"/>
        </w:rPr>
      </w:pPr>
    </w:p>
    <w:p w14:paraId="534AC3C1" w14:textId="77777777" w:rsidR="00E47562" w:rsidRPr="00E47562" w:rsidRDefault="00E47562" w:rsidP="00E47562">
      <w:pPr>
        <w:rPr>
          <w:rFonts w:asciiTheme="majorHAnsi" w:hAnsiTheme="majorHAnsi" w:cstheme="majorHAnsi"/>
        </w:rPr>
      </w:pPr>
    </w:p>
    <w:p w14:paraId="4020DB81" w14:textId="77777777" w:rsidR="00E47562" w:rsidRPr="00E47562" w:rsidRDefault="00E47562" w:rsidP="00E47562">
      <w:pPr>
        <w:rPr>
          <w:rFonts w:asciiTheme="majorHAnsi" w:hAnsiTheme="majorHAnsi" w:cstheme="majorHAnsi"/>
        </w:rPr>
      </w:pPr>
    </w:p>
    <w:p w14:paraId="185DEA76" w14:textId="068381D7" w:rsidR="00E47562" w:rsidRPr="0050740D" w:rsidRDefault="00E47562" w:rsidP="00E47562">
      <w:pPr>
        <w:pStyle w:val="Bezproreda"/>
        <w:spacing w:line="360" w:lineRule="auto"/>
        <w:ind w:left="720"/>
        <w:jc w:val="center"/>
        <w:rPr>
          <w:rFonts w:ascii="Calibri Light" w:hAnsi="Calibri Light" w:cs="Calibri Light"/>
          <w:i/>
          <w:iCs/>
          <w:color w:val="233F60"/>
          <w:sz w:val="20"/>
          <w:szCs w:val="20"/>
        </w:rPr>
      </w:pPr>
      <w:r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 xml:space="preserve">Izvor: Stručna služba LAG-a SAVA, </w:t>
      </w:r>
      <w:r w:rsidR="00240436">
        <w:rPr>
          <w:rFonts w:ascii="Calibri Light" w:hAnsi="Calibri Light" w:cs="Calibri Light"/>
          <w:i/>
          <w:iCs/>
          <w:color w:val="233F60"/>
          <w:sz w:val="20"/>
          <w:szCs w:val="20"/>
        </w:rPr>
        <w:t>studeni 2025</w:t>
      </w:r>
      <w:r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>.</w:t>
      </w:r>
    </w:p>
    <w:p w14:paraId="3CD6F7AF" w14:textId="77777777" w:rsidR="00E47562" w:rsidRPr="00E47562" w:rsidRDefault="00E47562" w:rsidP="00E47562">
      <w:pPr>
        <w:jc w:val="center"/>
        <w:rPr>
          <w:rFonts w:asciiTheme="majorHAnsi" w:hAnsiTheme="majorHAnsi" w:cstheme="majorHAnsi"/>
        </w:rPr>
      </w:pPr>
    </w:p>
    <w:p w14:paraId="073DCA71" w14:textId="77777777" w:rsidR="00E47562" w:rsidRPr="00E47562" w:rsidRDefault="00E47562" w:rsidP="00E47562">
      <w:pPr>
        <w:rPr>
          <w:rFonts w:asciiTheme="majorHAnsi" w:hAnsiTheme="majorHAnsi" w:cstheme="majorHAnsi"/>
        </w:rPr>
      </w:pPr>
    </w:p>
    <w:p w14:paraId="5FC17343" w14:textId="77777777" w:rsidR="00E47562" w:rsidRPr="00E47562" w:rsidRDefault="00E47562" w:rsidP="00E47562">
      <w:pPr>
        <w:rPr>
          <w:rFonts w:asciiTheme="majorHAnsi" w:hAnsiTheme="majorHAnsi" w:cstheme="majorHAnsi"/>
        </w:rPr>
      </w:pPr>
    </w:p>
    <w:tbl>
      <w:tblPr>
        <w:tblStyle w:val="Reetkatablice"/>
        <w:tblpPr w:leftFromText="180" w:rightFromText="180" w:horzAnchor="margin" w:tblpY="1419"/>
        <w:tblW w:w="0" w:type="auto"/>
        <w:tblLook w:val="04A0" w:firstRow="1" w:lastRow="0" w:firstColumn="1" w:lastColumn="0" w:noHBand="0" w:noVBand="1"/>
      </w:tblPr>
      <w:tblGrid>
        <w:gridCol w:w="2223"/>
        <w:gridCol w:w="2316"/>
        <w:gridCol w:w="2550"/>
        <w:gridCol w:w="2134"/>
        <w:gridCol w:w="1710"/>
        <w:gridCol w:w="1856"/>
        <w:gridCol w:w="1205"/>
      </w:tblGrid>
      <w:tr w:rsidR="00CD198C" w:rsidRPr="00E4645C" w14:paraId="155953F1" w14:textId="77777777" w:rsidTr="000D7DF5">
        <w:trPr>
          <w:trHeight w:val="900"/>
        </w:trPr>
        <w:tc>
          <w:tcPr>
            <w:tcW w:w="2223" w:type="dxa"/>
            <w:shd w:val="clear" w:color="auto" w:fill="E2EFD9" w:themeFill="accent6" w:themeFillTint="33"/>
            <w:noWrap/>
            <w:hideMark/>
          </w:tcPr>
          <w:p w14:paraId="11DDD975" w14:textId="77777777" w:rsidR="00E4645C" w:rsidRPr="00E4645C" w:rsidRDefault="00E4645C" w:rsidP="00CD198C">
            <w:pPr>
              <w:rPr>
                <w:rFonts w:asciiTheme="majorHAnsi" w:hAnsiTheme="majorHAnsi" w:cstheme="majorHAnsi"/>
              </w:rPr>
            </w:pPr>
            <w:bookmarkStart w:id="22" w:name="_Hlk183111229"/>
            <w:r w:rsidRPr="00E4645C">
              <w:rPr>
                <w:rFonts w:asciiTheme="majorHAnsi" w:hAnsiTheme="majorHAnsi" w:cstheme="majorHAnsi"/>
              </w:rPr>
              <w:lastRenderedPageBreak/>
              <w:t> </w:t>
            </w:r>
          </w:p>
        </w:tc>
        <w:tc>
          <w:tcPr>
            <w:tcW w:w="2316" w:type="dxa"/>
            <w:shd w:val="clear" w:color="auto" w:fill="E2EFD9" w:themeFill="accent6" w:themeFillTint="33"/>
            <w:noWrap/>
            <w:hideMark/>
          </w:tcPr>
          <w:p w14:paraId="06EC0AC4" w14:textId="77777777" w:rsidR="00E4645C" w:rsidRPr="00E4645C" w:rsidRDefault="00E4645C" w:rsidP="00CD198C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Ukupan broj projekata odobrenih od strane LAG-a</w:t>
            </w:r>
          </w:p>
        </w:tc>
        <w:tc>
          <w:tcPr>
            <w:tcW w:w="2550" w:type="dxa"/>
            <w:shd w:val="clear" w:color="auto" w:fill="E2EFD9" w:themeFill="accent6" w:themeFillTint="33"/>
            <w:noWrap/>
            <w:hideMark/>
          </w:tcPr>
          <w:p w14:paraId="2865A997" w14:textId="476EA523" w:rsidR="00E4645C" w:rsidRPr="00E4645C" w:rsidRDefault="00E4645C" w:rsidP="00CD198C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Ukupan broj projekata odob</w:t>
            </w:r>
            <w:r w:rsidR="007C0B46">
              <w:rPr>
                <w:rFonts w:asciiTheme="majorHAnsi" w:hAnsiTheme="majorHAnsi" w:cstheme="majorHAnsi"/>
              </w:rPr>
              <w:t>r</w:t>
            </w:r>
            <w:r w:rsidRPr="00E4645C">
              <w:rPr>
                <w:rFonts w:asciiTheme="majorHAnsi" w:hAnsiTheme="majorHAnsi" w:cstheme="majorHAnsi"/>
              </w:rPr>
              <w:t xml:space="preserve">enih od strane </w:t>
            </w:r>
            <w:proofErr w:type="spellStart"/>
            <w:r w:rsidRPr="00E4645C">
              <w:rPr>
                <w:rFonts w:asciiTheme="majorHAnsi" w:hAnsiTheme="majorHAnsi" w:cstheme="majorHAnsi"/>
              </w:rPr>
              <w:t>APPRRR</w:t>
            </w:r>
            <w:proofErr w:type="spellEnd"/>
            <w:r w:rsidRPr="00E4645C">
              <w:rPr>
                <w:rFonts w:asciiTheme="majorHAnsi" w:hAnsiTheme="majorHAnsi" w:cstheme="majorHAnsi"/>
              </w:rPr>
              <w:t>-a</w:t>
            </w:r>
          </w:p>
        </w:tc>
        <w:tc>
          <w:tcPr>
            <w:tcW w:w="2134" w:type="dxa"/>
            <w:shd w:val="clear" w:color="auto" w:fill="E2EFD9" w:themeFill="accent6" w:themeFillTint="33"/>
            <w:hideMark/>
          </w:tcPr>
          <w:p w14:paraId="5F27DC05" w14:textId="77777777" w:rsidR="00E4645C" w:rsidRPr="00E4645C" w:rsidRDefault="00E4645C" w:rsidP="00CD198C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Ukupan iznos potpora od strane LAG-a</w:t>
            </w:r>
          </w:p>
        </w:tc>
        <w:tc>
          <w:tcPr>
            <w:tcW w:w="1710" w:type="dxa"/>
            <w:shd w:val="clear" w:color="auto" w:fill="E2EFD9" w:themeFill="accent6" w:themeFillTint="33"/>
            <w:hideMark/>
          </w:tcPr>
          <w:p w14:paraId="1730A7AD" w14:textId="77777777" w:rsidR="00E4645C" w:rsidRPr="00E4645C" w:rsidRDefault="00E4645C" w:rsidP="00CD198C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 xml:space="preserve">Ukupno Ugovorena sredstva </w:t>
            </w:r>
            <w:proofErr w:type="spellStart"/>
            <w:r w:rsidRPr="00E4645C">
              <w:rPr>
                <w:rFonts w:asciiTheme="majorHAnsi" w:hAnsiTheme="majorHAnsi" w:cstheme="majorHAnsi"/>
              </w:rPr>
              <w:t>APPRRR</w:t>
            </w:r>
            <w:proofErr w:type="spellEnd"/>
            <w:r w:rsidRPr="00E4645C">
              <w:rPr>
                <w:rFonts w:asciiTheme="majorHAnsi" w:hAnsiTheme="majorHAnsi" w:cstheme="majorHAnsi"/>
              </w:rPr>
              <w:t>-a</w:t>
            </w:r>
          </w:p>
        </w:tc>
        <w:tc>
          <w:tcPr>
            <w:tcW w:w="1856" w:type="dxa"/>
            <w:shd w:val="clear" w:color="auto" w:fill="E2EFD9" w:themeFill="accent6" w:themeFillTint="33"/>
            <w:hideMark/>
          </w:tcPr>
          <w:p w14:paraId="409D54FD" w14:textId="2E9ED1B2" w:rsidR="00E4645C" w:rsidRPr="00E4645C" w:rsidRDefault="00E4645C" w:rsidP="00CD198C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 xml:space="preserve">UKUPNO ISPLAĆENA SREDSTVA na dan </w:t>
            </w:r>
            <w:r w:rsidR="000D7DF5">
              <w:rPr>
                <w:rFonts w:asciiTheme="majorHAnsi" w:hAnsiTheme="majorHAnsi" w:cstheme="majorHAnsi"/>
              </w:rPr>
              <w:t>29</w:t>
            </w:r>
            <w:r w:rsidRPr="00E4645C">
              <w:rPr>
                <w:rFonts w:asciiTheme="majorHAnsi" w:hAnsiTheme="majorHAnsi" w:cstheme="majorHAnsi"/>
              </w:rPr>
              <w:t>.10.202</w:t>
            </w:r>
            <w:r w:rsidR="000D7DF5">
              <w:rPr>
                <w:rFonts w:asciiTheme="majorHAnsi" w:hAnsiTheme="majorHAnsi" w:cstheme="majorHAnsi"/>
              </w:rPr>
              <w:t>5</w:t>
            </w:r>
            <w:r w:rsidRPr="00E4645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05" w:type="dxa"/>
            <w:shd w:val="clear" w:color="auto" w:fill="E2EFD9" w:themeFill="accent6" w:themeFillTint="33"/>
            <w:hideMark/>
          </w:tcPr>
          <w:p w14:paraId="6ED25023" w14:textId="77777777" w:rsidR="00E4645C" w:rsidRPr="00E4645C" w:rsidRDefault="00E4645C" w:rsidP="00CD198C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% uspješnosti provedbe</w:t>
            </w:r>
          </w:p>
        </w:tc>
      </w:tr>
      <w:tr w:rsidR="000D7DF5" w:rsidRPr="00E4645C" w14:paraId="10EE2C85" w14:textId="77777777" w:rsidTr="000D7DF5">
        <w:trPr>
          <w:trHeight w:val="300"/>
        </w:trPr>
        <w:tc>
          <w:tcPr>
            <w:tcW w:w="2223" w:type="dxa"/>
            <w:shd w:val="clear" w:color="auto" w:fill="E2EFD9" w:themeFill="accent6" w:themeFillTint="33"/>
            <w:hideMark/>
          </w:tcPr>
          <w:p w14:paraId="1EF5F688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proofErr w:type="spellStart"/>
            <w:r w:rsidRPr="00E4645C">
              <w:rPr>
                <w:rFonts w:asciiTheme="majorHAnsi" w:hAnsiTheme="majorHAnsi" w:cstheme="majorHAnsi"/>
              </w:rPr>
              <w:t>Podmjera</w:t>
            </w:r>
            <w:proofErr w:type="spellEnd"/>
            <w:r w:rsidRPr="00E4645C">
              <w:rPr>
                <w:rFonts w:asciiTheme="majorHAnsi" w:hAnsiTheme="majorHAnsi" w:cstheme="majorHAnsi"/>
              </w:rPr>
              <w:t xml:space="preserve"> 19.1.</w:t>
            </w:r>
          </w:p>
        </w:tc>
        <w:tc>
          <w:tcPr>
            <w:tcW w:w="2316" w:type="dxa"/>
            <w:noWrap/>
            <w:hideMark/>
          </w:tcPr>
          <w:p w14:paraId="5CFF78CD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n/p</w:t>
            </w:r>
          </w:p>
        </w:tc>
        <w:tc>
          <w:tcPr>
            <w:tcW w:w="2550" w:type="dxa"/>
            <w:noWrap/>
            <w:hideMark/>
          </w:tcPr>
          <w:p w14:paraId="4FCA2F8E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134" w:type="dxa"/>
            <w:noWrap/>
            <w:hideMark/>
          </w:tcPr>
          <w:p w14:paraId="1A8F47AF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17.886,14 €</w:t>
            </w:r>
          </w:p>
        </w:tc>
        <w:tc>
          <w:tcPr>
            <w:tcW w:w="1710" w:type="dxa"/>
            <w:noWrap/>
            <w:hideMark/>
          </w:tcPr>
          <w:p w14:paraId="05BDCA09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17.886,14 €</w:t>
            </w:r>
          </w:p>
        </w:tc>
        <w:tc>
          <w:tcPr>
            <w:tcW w:w="1856" w:type="dxa"/>
            <w:noWrap/>
            <w:hideMark/>
          </w:tcPr>
          <w:p w14:paraId="5CFC7D5B" w14:textId="5F71DFC4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BD306A">
              <w:t xml:space="preserve"> 17.886,14 € </w:t>
            </w:r>
          </w:p>
        </w:tc>
        <w:tc>
          <w:tcPr>
            <w:tcW w:w="1205" w:type="dxa"/>
            <w:noWrap/>
            <w:vAlign w:val="bottom"/>
            <w:hideMark/>
          </w:tcPr>
          <w:p w14:paraId="5D61EDD7" w14:textId="0AF19122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color w:val="000000"/>
              </w:rPr>
              <w:t>100,00%</w:t>
            </w:r>
          </w:p>
        </w:tc>
      </w:tr>
      <w:tr w:rsidR="000D7DF5" w:rsidRPr="00E4645C" w14:paraId="43D0D060" w14:textId="77777777" w:rsidTr="000D7DF5">
        <w:trPr>
          <w:trHeight w:val="300"/>
        </w:trPr>
        <w:tc>
          <w:tcPr>
            <w:tcW w:w="2223" w:type="dxa"/>
            <w:shd w:val="clear" w:color="auto" w:fill="E2EFD9" w:themeFill="accent6" w:themeFillTint="33"/>
            <w:hideMark/>
          </w:tcPr>
          <w:p w14:paraId="1C2EB4DF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proofErr w:type="spellStart"/>
            <w:r w:rsidRPr="00E4645C">
              <w:rPr>
                <w:rFonts w:asciiTheme="majorHAnsi" w:hAnsiTheme="majorHAnsi" w:cstheme="majorHAnsi"/>
              </w:rPr>
              <w:t>Podmjera</w:t>
            </w:r>
            <w:proofErr w:type="spellEnd"/>
            <w:r w:rsidRPr="00E4645C">
              <w:rPr>
                <w:rFonts w:asciiTheme="majorHAnsi" w:hAnsiTheme="majorHAnsi" w:cstheme="majorHAnsi"/>
              </w:rPr>
              <w:t xml:space="preserve"> 19.2.  </w:t>
            </w:r>
          </w:p>
        </w:tc>
        <w:tc>
          <w:tcPr>
            <w:tcW w:w="2316" w:type="dxa"/>
            <w:noWrap/>
            <w:hideMark/>
          </w:tcPr>
          <w:p w14:paraId="46DD9E96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87</w:t>
            </w:r>
          </w:p>
        </w:tc>
        <w:tc>
          <w:tcPr>
            <w:tcW w:w="2550" w:type="dxa"/>
            <w:noWrap/>
            <w:hideMark/>
          </w:tcPr>
          <w:p w14:paraId="3F19B696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86</w:t>
            </w:r>
          </w:p>
        </w:tc>
        <w:tc>
          <w:tcPr>
            <w:tcW w:w="2134" w:type="dxa"/>
            <w:noWrap/>
            <w:hideMark/>
          </w:tcPr>
          <w:p w14:paraId="587E6704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1.727.451,08 €</w:t>
            </w:r>
          </w:p>
        </w:tc>
        <w:tc>
          <w:tcPr>
            <w:tcW w:w="1710" w:type="dxa"/>
            <w:noWrap/>
            <w:hideMark/>
          </w:tcPr>
          <w:p w14:paraId="0442EC15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1674255,52</w:t>
            </w:r>
          </w:p>
        </w:tc>
        <w:tc>
          <w:tcPr>
            <w:tcW w:w="1856" w:type="dxa"/>
            <w:noWrap/>
            <w:hideMark/>
          </w:tcPr>
          <w:p w14:paraId="16679D20" w14:textId="24B4B7D4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BD306A">
              <w:t xml:space="preserve"> 1.623.243,22 € </w:t>
            </w:r>
          </w:p>
        </w:tc>
        <w:tc>
          <w:tcPr>
            <w:tcW w:w="1205" w:type="dxa"/>
            <w:noWrap/>
            <w:vAlign w:val="bottom"/>
            <w:hideMark/>
          </w:tcPr>
          <w:p w14:paraId="200390A5" w14:textId="3218BEBA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color w:val="000000"/>
              </w:rPr>
              <w:t>96,95%</w:t>
            </w:r>
          </w:p>
        </w:tc>
      </w:tr>
      <w:tr w:rsidR="000D7DF5" w:rsidRPr="00E4645C" w14:paraId="056CB176" w14:textId="77777777" w:rsidTr="000D7DF5">
        <w:trPr>
          <w:trHeight w:val="300"/>
        </w:trPr>
        <w:tc>
          <w:tcPr>
            <w:tcW w:w="2223" w:type="dxa"/>
            <w:shd w:val="clear" w:color="auto" w:fill="E2EFD9" w:themeFill="accent6" w:themeFillTint="33"/>
            <w:hideMark/>
          </w:tcPr>
          <w:p w14:paraId="3CD6C2D3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proofErr w:type="spellStart"/>
            <w:r w:rsidRPr="00E4645C">
              <w:rPr>
                <w:rFonts w:asciiTheme="majorHAnsi" w:hAnsiTheme="majorHAnsi" w:cstheme="majorHAnsi"/>
              </w:rPr>
              <w:t>Podmjera</w:t>
            </w:r>
            <w:proofErr w:type="spellEnd"/>
            <w:r w:rsidRPr="00E4645C">
              <w:rPr>
                <w:rFonts w:asciiTheme="majorHAnsi" w:hAnsiTheme="majorHAnsi" w:cstheme="majorHAnsi"/>
              </w:rPr>
              <w:t xml:space="preserve"> 19.3. </w:t>
            </w:r>
          </w:p>
        </w:tc>
        <w:tc>
          <w:tcPr>
            <w:tcW w:w="2316" w:type="dxa"/>
            <w:noWrap/>
            <w:hideMark/>
          </w:tcPr>
          <w:p w14:paraId="15FCEB3A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550" w:type="dxa"/>
            <w:noWrap/>
            <w:hideMark/>
          </w:tcPr>
          <w:p w14:paraId="22D8C9FE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134" w:type="dxa"/>
            <w:noWrap/>
            <w:hideMark/>
          </w:tcPr>
          <w:p w14:paraId="71C9D868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47.257,30 €</w:t>
            </w:r>
          </w:p>
        </w:tc>
        <w:tc>
          <w:tcPr>
            <w:tcW w:w="1710" w:type="dxa"/>
            <w:noWrap/>
            <w:hideMark/>
          </w:tcPr>
          <w:p w14:paraId="67800464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47.257,30 €</w:t>
            </w:r>
          </w:p>
        </w:tc>
        <w:tc>
          <w:tcPr>
            <w:tcW w:w="1856" w:type="dxa"/>
            <w:noWrap/>
            <w:hideMark/>
          </w:tcPr>
          <w:p w14:paraId="35355ED9" w14:textId="5D60348D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BD306A">
              <w:t xml:space="preserve"> 39.184,45 € </w:t>
            </w:r>
          </w:p>
        </w:tc>
        <w:tc>
          <w:tcPr>
            <w:tcW w:w="1205" w:type="dxa"/>
            <w:noWrap/>
            <w:vAlign w:val="bottom"/>
            <w:hideMark/>
          </w:tcPr>
          <w:p w14:paraId="5B848199" w14:textId="5C1D1E56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color w:val="000000"/>
              </w:rPr>
              <w:t>82,92%</w:t>
            </w:r>
          </w:p>
        </w:tc>
      </w:tr>
      <w:tr w:rsidR="000D7DF5" w:rsidRPr="00E4645C" w14:paraId="4EC97D2B" w14:textId="77777777" w:rsidTr="000D7DF5">
        <w:trPr>
          <w:trHeight w:val="300"/>
        </w:trPr>
        <w:tc>
          <w:tcPr>
            <w:tcW w:w="2223" w:type="dxa"/>
            <w:shd w:val="clear" w:color="auto" w:fill="E2EFD9" w:themeFill="accent6" w:themeFillTint="33"/>
            <w:hideMark/>
          </w:tcPr>
          <w:p w14:paraId="35E0BE68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proofErr w:type="spellStart"/>
            <w:r w:rsidRPr="00E4645C">
              <w:rPr>
                <w:rFonts w:asciiTheme="majorHAnsi" w:hAnsiTheme="majorHAnsi" w:cstheme="majorHAnsi"/>
              </w:rPr>
              <w:t>Podmjera</w:t>
            </w:r>
            <w:proofErr w:type="spellEnd"/>
            <w:r w:rsidRPr="00E4645C">
              <w:rPr>
                <w:rFonts w:asciiTheme="majorHAnsi" w:hAnsiTheme="majorHAnsi" w:cstheme="majorHAnsi"/>
              </w:rPr>
              <w:t xml:space="preserve"> 19.4. </w:t>
            </w:r>
          </w:p>
        </w:tc>
        <w:tc>
          <w:tcPr>
            <w:tcW w:w="2316" w:type="dxa"/>
            <w:noWrap/>
            <w:hideMark/>
          </w:tcPr>
          <w:p w14:paraId="09F55AA6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n/p</w:t>
            </w:r>
          </w:p>
        </w:tc>
        <w:tc>
          <w:tcPr>
            <w:tcW w:w="2550" w:type="dxa"/>
            <w:noWrap/>
            <w:hideMark/>
          </w:tcPr>
          <w:p w14:paraId="24A354FE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n</w:t>
            </w:r>
          </w:p>
        </w:tc>
        <w:tc>
          <w:tcPr>
            <w:tcW w:w="2134" w:type="dxa"/>
            <w:noWrap/>
            <w:hideMark/>
          </w:tcPr>
          <w:p w14:paraId="29006114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379.679,22 €</w:t>
            </w:r>
          </w:p>
        </w:tc>
        <w:tc>
          <w:tcPr>
            <w:tcW w:w="1710" w:type="dxa"/>
            <w:noWrap/>
            <w:hideMark/>
          </w:tcPr>
          <w:p w14:paraId="0E98F6B7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379.679,22 €</w:t>
            </w:r>
          </w:p>
        </w:tc>
        <w:tc>
          <w:tcPr>
            <w:tcW w:w="1856" w:type="dxa"/>
            <w:noWrap/>
            <w:hideMark/>
          </w:tcPr>
          <w:p w14:paraId="1D3D71AC" w14:textId="278A3879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BD306A">
              <w:t xml:space="preserve"> 379.679,22 € </w:t>
            </w:r>
          </w:p>
        </w:tc>
        <w:tc>
          <w:tcPr>
            <w:tcW w:w="1205" w:type="dxa"/>
            <w:noWrap/>
            <w:vAlign w:val="bottom"/>
            <w:hideMark/>
          </w:tcPr>
          <w:p w14:paraId="593E86E2" w14:textId="7E1A7904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color w:val="000000"/>
              </w:rPr>
              <w:t>100,00%</w:t>
            </w:r>
          </w:p>
        </w:tc>
      </w:tr>
      <w:tr w:rsidR="000D7DF5" w:rsidRPr="00E4645C" w14:paraId="08FE7E52" w14:textId="77777777" w:rsidTr="000D7DF5">
        <w:trPr>
          <w:trHeight w:val="600"/>
        </w:trPr>
        <w:tc>
          <w:tcPr>
            <w:tcW w:w="2223" w:type="dxa"/>
            <w:shd w:val="clear" w:color="auto" w:fill="E2EFD9" w:themeFill="accent6" w:themeFillTint="33"/>
            <w:hideMark/>
          </w:tcPr>
          <w:p w14:paraId="22D3B822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 xml:space="preserve">UKUPNO ZA 19.2. / 19.3. / 19.4. </w:t>
            </w:r>
          </w:p>
        </w:tc>
        <w:tc>
          <w:tcPr>
            <w:tcW w:w="2316" w:type="dxa"/>
            <w:noWrap/>
            <w:hideMark/>
          </w:tcPr>
          <w:p w14:paraId="2F4BBE34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88</w:t>
            </w:r>
          </w:p>
        </w:tc>
        <w:tc>
          <w:tcPr>
            <w:tcW w:w="2550" w:type="dxa"/>
            <w:noWrap/>
            <w:hideMark/>
          </w:tcPr>
          <w:p w14:paraId="07CCA02B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87</w:t>
            </w:r>
          </w:p>
        </w:tc>
        <w:tc>
          <w:tcPr>
            <w:tcW w:w="2134" w:type="dxa"/>
            <w:noWrap/>
            <w:hideMark/>
          </w:tcPr>
          <w:p w14:paraId="50294BD7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2.119.194,19 €</w:t>
            </w:r>
          </w:p>
        </w:tc>
        <w:tc>
          <w:tcPr>
            <w:tcW w:w="1710" w:type="dxa"/>
            <w:noWrap/>
            <w:hideMark/>
          </w:tcPr>
          <w:p w14:paraId="5B4F561D" w14:textId="77777777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E4645C">
              <w:rPr>
                <w:rFonts w:asciiTheme="majorHAnsi" w:hAnsiTheme="majorHAnsi" w:cstheme="majorHAnsi"/>
              </w:rPr>
              <w:t>2.119.078,18 €</w:t>
            </w:r>
          </w:p>
        </w:tc>
        <w:tc>
          <w:tcPr>
            <w:tcW w:w="1856" w:type="dxa"/>
            <w:noWrap/>
            <w:hideMark/>
          </w:tcPr>
          <w:p w14:paraId="0DA77CAA" w14:textId="6C087C3D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 w:rsidRPr="00BD306A">
              <w:t>2.059.993,03 €</w:t>
            </w:r>
          </w:p>
        </w:tc>
        <w:tc>
          <w:tcPr>
            <w:tcW w:w="1205" w:type="dxa"/>
            <w:noWrap/>
            <w:vAlign w:val="bottom"/>
            <w:hideMark/>
          </w:tcPr>
          <w:p w14:paraId="6D664F56" w14:textId="475DE6A0" w:rsidR="000D7DF5" w:rsidRPr="00E4645C" w:rsidRDefault="000D7DF5" w:rsidP="000D7DF5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color w:val="000000"/>
              </w:rPr>
              <w:t>97,21%</w:t>
            </w:r>
          </w:p>
        </w:tc>
      </w:tr>
      <w:bookmarkEnd w:id="22"/>
    </w:tbl>
    <w:p w14:paraId="2AB85F54" w14:textId="77777777" w:rsidR="00E47562" w:rsidRPr="00E47562" w:rsidRDefault="00E47562" w:rsidP="00E47562">
      <w:pPr>
        <w:rPr>
          <w:rFonts w:asciiTheme="majorHAnsi" w:hAnsiTheme="majorHAnsi" w:cstheme="majorHAnsi"/>
        </w:rPr>
      </w:pPr>
    </w:p>
    <w:p w14:paraId="3E9C7841" w14:textId="30B21E6F" w:rsidR="00E47562" w:rsidRPr="00E47562" w:rsidRDefault="00CD198C" w:rsidP="00CD198C">
      <w:pPr>
        <w:pStyle w:val="Naslov3"/>
      </w:pPr>
      <w:bookmarkStart w:id="23" w:name="_Toc212823176"/>
      <w:r>
        <w:t xml:space="preserve">Tablica 5: Odnos ukupno odobrenih projekata od strane LAG-a i </w:t>
      </w:r>
      <w:proofErr w:type="spellStart"/>
      <w:r>
        <w:t>APPRRR</w:t>
      </w:r>
      <w:proofErr w:type="spellEnd"/>
      <w:r>
        <w:t>-a</w:t>
      </w:r>
      <w:bookmarkEnd w:id="23"/>
    </w:p>
    <w:p w14:paraId="03B6353A" w14:textId="77777777" w:rsidR="00E47562" w:rsidRPr="00E47562" w:rsidRDefault="00E47562" w:rsidP="00E47562">
      <w:pPr>
        <w:rPr>
          <w:rFonts w:asciiTheme="majorHAnsi" w:hAnsiTheme="majorHAnsi" w:cstheme="majorHAnsi"/>
        </w:rPr>
      </w:pPr>
    </w:p>
    <w:p w14:paraId="65A6FF34" w14:textId="77777777" w:rsidR="00E74CDA" w:rsidRDefault="000E63B7">
      <w:pPr>
        <w:rPr>
          <w:rFonts w:asciiTheme="majorHAnsi" w:hAnsiTheme="majorHAnsi" w:cstheme="majorHAnsi"/>
        </w:rPr>
        <w:sectPr w:rsidR="00E74CDA" w:rsidSect="00DE2513">
          <w:pgSz w:w="16838" w:h="11906" w:orient="landscape" w:code="9"/>
          <w:pgMar w:top="1134" w:right="1417" w:bottom="1417" w:left="1417" w:header="1134" w:footer="1134" w:gutter="0"/>
          <w:cols w:space="708"/>
          <w:titlePg/>
          <w:docGrid w:linePitch="360"/>
        </w:sectPr>
      </w:pPr>
      <w:r>
        <w:rPr>
          <w:rFonts w:asciiTheme="majorHAnsi" w:hAnsiTheme="majorHAnsi" w:cstheme="majorHAnsi"/>
        </w:rPr>
        <w:br w:type="page"/>
      </w:r>
    </w:p>
    <w:p w14:paraId="1B1D6472" w14:textId="209BDE4E" w:rsidR="000E63B7" w:rsidRDefault="000E63B7">
      <w:pPr>
        <w:rPr>
          <w:rFonts w:asciiTheme="majorHAnsi" w:hAnsiTheme="majorHAnsi" w:cstheme="majorHAnsi"/>
        </w:rPr>
      </w:pPr>
    </w:p>
    <w:p w14:paraId="4C306DDB" w14:textId="605967E1" w:rsidR="00CD198C" w:rsidRDefault="00FE3398" w:rsidP="00615AF1">
      <w:pPr>
        <w:pStyle w:val="Naslov3"/>
      </w:pPr>
      <w:bookmarkStart w:id="24" w:name="_Toc212823177"/>
      <w:r>
        <w:t xml:space="preserve">Tablica 6: </w:t>
      </w:r>
      <w:r w:rsidR="00615AF1" w:rsidRPr="00615AF1">
        <w:t xml:space="preserve">Praćenje provedbe LRS putem pokazatelja isporuka (output </w:t>
      </w:r>
      <w:proofErr w:type="spellStart"/>
      <w:r w:rsidR="00615AF1" w:rsidRPr="00615AF1">
        <w:t>indicators</w:t>
      </w:r>
      <w:proofErr w:type="spellEnd"/>
      <w:r w:rsidR="00615AF1" w:rsidRPr="00615AF1">
        <w:t xml:space="preserve">) za praćenje postizanja pokazatelja rezultata. LEADER pokazatelji u okviru </w:t>
      </w:r>
      <w:proofErr w:type="spellStart"/>
      <w:r w:rsidR="00615AF1" w:rsidRPr="00615AF1">
        <w:t>ZPP</w:t>
      </w:r>
      <w:proofErr w:type="spellEnd"/>
      <w:r w:rsidR="00615AF1" w:rsidRPr="00615AF1">
        <w:t xml:space="preserve"> indikatora</w:t>
      </w:r>
      <w:bookmarkEnd w:id="24"/>
    </w:p>
    <w:tbl>
      <w:tblPr>
        <w:tblStyle w:val="Reetkatablice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0"/>
        <w:gridCol w:w="805"/>
        <w:gridCol w:w="5004"/>
        <w:gridCol w:w="1276"/>
        <w:gridCol w:w="1134"/>
        <w:gridCol w:w="992"/>
        <w:gridCol w:w="992"/>
        <w:gridCol w:w="851"/>
        <w:gridCol w:w="1276"/>
        <w:gridCol w:w="992"/>
      </w:tblGrid>
      <w:tr w:rsidR="00E74CDA" w:rsidRPr="00E74CDA" w14:paraId="0A98F7F1" w14:textId="77777777" w:rsidTr="003C632C">
        <w:trPr>
          <w:trHeight w:val="638"/>
          <w:tblHeader/>
        </w:trPr>
        <w:tc>
          <w:tcPr>
            <w:tcW w:w="570" w:type="dxa"/>
            <w:shd w:val="clear" w:color="auto" w:fill="E2EFD9" w:themeFill="accent6" w:themeFillTint="33"/>
            <w:hideMark/>
          </w:tcPr>
          <w:p w14:paraId="0B72467B" w14:textId="77777777" w:rsidR="00E74CDA" w:rsidRPr="00E74CDA" w:rsidRDefault="00E74CDA">
            <w:pPr>
              <w:rPr>
                <w:rFonts w:asciiTheme="majorHAnsi" w:hAnsiTheme="majorHAnsi" w:cstheme="majorHAnsi"/>
                <w:u w:val="single"/>
              </w:rPr>
            </w:pPr>
            <w:hyperlink r:id="rId12" w:anchor="RANGE!_ftn1" w:history="1">
              <w:r w:rsidRPr="00E74CDA">
                <w:rPr>
                  <w:rStyle w:val="Hiperveza"/>
                  <w:rFonts w:asciiTheme="majorHAnsi" w:hAnsiTheme="majorHAnsi" w:cstheme="majorHAnsi"/>
                </w:rPr>
                <w:t xml:space="preserve">P[1] </w:t>
              </w:r>
              <w:proofErr w:type="spellStart"/>
              <w:r w:rsidRPr="00E74CDA">
                <w:rPr>
                  <w:rStyle w:val="Hiperveza"/>
                  <w:rFonts w:asciiTheme="majorHAnsi" w:hAnsiTheme="majorHAnsi" w:cstheme="majorHAnsi"/>
                </w:rPr>
                <w:t>PRR</w:t>
              </w:r>
              <w:proofErr w:type="spellEnd"/>
            </w:hyperlink>
          </w:p>
        </w:tc>
        <w:tc>
          <w:tcPr>
            <w:tcW w:w="805" w:type="dxa"/>
            <w:shd w:val="clear" w:color="auto" w:fill="E2EFD9" w:themeFill="accent6" w:themeFillTint="33"/>
            <w:hideMark/>
          </w:tcPr>
          <w:p w14:paraId="3A068166" w14:textId="77777777" w:rsidR="00E74CDA" w:rsidRPr="00E74CDA" w:rsidRDefault="00E74CDA">
            <w:pPr>
              <w:rPr>
                <w:rFonts w:asciiTheme="majorHAnsi" w:hAnsiTheme="majorHAnsi" w:cstheme="majorHAnsi"/>
                <w:u w:val="single"/>
              </w:rPr>
            </w:pPr>
            <w:hyperlink r:id="rId13" w:anchor="RANGE!_ftn2" w:history="1">
              <w:proofErr w:type="spellStart"/>
              <w:r w:rsidRPr="00E74CDA">
                <w:rPr>
                  <w:rStyle w:val="Hiperveza"/>
                  <w:rFonts w:asciiTheme="majorHAnsi" w:hAnsiTheme="majorHAnsi" w:cstheme="majorHAnsi"/>
                </w:rPr>
                <w:t>FP</w:t>
              </w:r>
              <w:proofErr w:type="spellEnd"/>
              <w:r w:rsidRPr="00E74CDA">
                <w:rPr>
                  <w:rStyle w:val="Hiperveza"/>
                  <w:rFonts w:asciiTheme="majorHAnsi" w:hAnsiTheme="majorHAnsi" w:cstheme="majorHAnsi"/>
                </w:rPr>
                <w:t xml:space="preserve"> [2]</w:t>
              </w:r>
              <w:proofErr w:type="spellStart"/>
              <w:r w:rsidRPr="00E74CDA">
                <w:rPr>
                  <w:rStyle w:val="Hiperveza"/>
                  <w:rFonts w:asciiTheme="majorHAnsi" w:hAnsiTheme="majorHAnsi" w:cstheme="majorHAnsi"/>
                </w:rPr>
                <w:t>PRR</w:t>
              </w:r>
              <w:proofErr w:type="spellEnd"/>
            </w:hyperlink>
          </w:p>
        </w:tc>
        <w:tc>
          <w:tcPr>
            <w:tcW w:w="5004" w:type="dxa"/>
            <w:shd w:val="clear" w:color="auto" w:fill="E2EFD9" w:themeFill="accent6" w:themeFillTint="33"/>
            <w:hideMark/>
          </w:tcPr>
          <w:p w14:paraId="269F000C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 xml:space="preserve">Naziv pokazatelja </w:t>
            </w:r>
          </w:p>
        </w:tc>
        <w:tc>
          <w:tcPr>
            <w:tcW w:w="1276" w:type="dxa"/>
            <w:shd w:val="clear" w:color="auto" w:fill="E2EFD9" w:themeFill="accent6" w:themeFillTint="33"/>
            <w:hideMark/>
          </w:tcPr>
          <w:p w14:paraId="5A8593AE" w14:textId="5E955375" w:rsidR="00E74CDA" w:rsidRPr="00E74CDA" w:rsidRDefault="00E74CDA" w:rsidP="00E74CDA">
            <w:pPr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E74CDA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OSTVARENO 2017-2025.</w:t>
            </w:r>
          </w:p>
        </w:tc>
        <w:tc>
          <w:tcPr>
            <w:tcW w:w="1134" w:type="dxa"/>
            <w:shd w:val="clear" w:color="auto" w:fill="E2EFD9" w:themeFill="accent6" w:themeFillTint="33"/>
            <w:hideMark/>
          </w:tcPr>
          <w:p w14:paraId="1EC231A3" w14:textId="4E17E725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proofErr w:type="spellStart"/>
            <w:r w:rsidRPr="00E74CDA">
              <w:rPr>
                <w:rFonts w:asciiTheme="majorHAnsi" w:hAnsiTheme="majorHAnsi" w:cstheme="majorHAnsi"/>
              </w:rPr>
              <w:t>CVP</w:t>
            </w:r>
            <w:proofErr w:type="spellEnd"/>
            <w:r w:rsidRPr="00E74CDA">
              <w:rPr>
                <w:rFonts w:asciiTheme="majorHAnsi" w:hAnsiTheme="majorHAnsi" w:cstheme="majorHAnsi"/>
              </w:rPr>
              <w:t xml:space="preserve"> 2026.</w:t>
            </w:r>
          </w:p>
        </w:tc>
        <w:tc>
          <w:tcPr>
            <w:tcW w:w="992" w:type="dxa"/>
            <w:shd w:val="clear" w:color="auto" w:fill="E2EFD9" w:themeFill="accent6" w:themeFillTint="33"/>
            <w:hideMark/>
          </w:tcPr>
          <w:p w14:paraId="1AF6F0D7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TO LRS</w:t>
            </w:r>
          </w:p>
        </w:tc>
        <w:tc>
          <w:tcPr>
            <w:tcW w:w="992" w:type="dxa"/>
            <w:shd w:val="clear" w:color="auto" w:fill="E2EFD9" w:themeFill="accent6" w:themeFillTint="33"/>
            <w:hideMark/>
          </w:tcPr>
          <w:p w14:paraId="0E822B8B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 xml:space="preserve">TO </w:t>
            </w:r>
            <w:proofErr w:type="spellStart"/>
            <w:r w:rsidRPr="00E74CDA">
              <w:rPr>
                <w:rFonts w:asciiTheme="majorHAnsi" w:hAnsiTheme="majorHAnsi" w:cstheme="majorHAnsi"/>
              </w:rPr>
              <w:t>PRR</w:t>
            </w:r>
            <w:proofErr w:type="spellEnd"/>
          </w:p>
        </w:tc>
        <w:tc>
          <w:tcPr>
            <w:tcW w:w="851" w:type="dxa"/>
            <w:shd w:val="clear" w:color="auto" w:fill="E2EFD9" w:themeFill="accent6" w:themeFillTint="33"/>
            <w:hideMark/>
          </w:tcPr>
          <w:p w14:paraId="32CD3941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 xml:space="preserve">M LRS </w:t>
            </w:r>
          </w:p>
        </w:tc>
        <w:tc>
          <w:tcPr>
            <w:tcW w:w="1276" w:type="dxa"/>
            <w:shd w:val="clear" w:color="auto" w:fill="E2EFD9" w:themeFill="accent6" w:themeFillTint="33"/>
            <w:hideMark/>
          </w:tcPr>
          <w:p w14:paraId="061A5094" w14:textId="3F6F6F93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 xml:space="preserve">M/PM </w:t>
            </w:r>
            <w:proofErr w:type="spellStart"/>
            <w:r w:rsidRPr="00E74CDA">
              <w:rPr>
                <w:rFonts w:asciiTheme="majorHAnsi" w:hAnsiTheme="majorHAnsi" w:cstheme="majorHAnsi"/>
              </w:rPr>
              <w:t>PRR</w:t>
            </w:r>
            <w:proofErr w:type="spellEnd"/>
          </w:p>
        </w:tc>
        <w:tc>
          <w:tcPr>
            <w:tcW w:w="992" w:type="dxa"/>
            <w:shd w:val="clear" w:color="auto" w:fill="E2EFD9" w:themeFill="accent6" w:themeFillTint="33"/>
            <w:hideMark/>
          </w:tcPr>
          <w:p w14:paraId="3A91E8B3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SC LRS</w:t>
            </w:r>
          </w:p>
        </w:tc>
      </w:tr>
      <w:tr w:rsidR="00E74CDA" w:rsidRPr="00E74CDA" w14:paraId="07EAB017" w14:textId="77777777" w:rsidTr="003C632C">
        <w:trPr>
          <w:trHeight w:val="600"/>
        </w:trPr>
        <w:tc>
          <w:tcPr>
            <w:tcW w:w="570" w:type="dxa"/>
            <w:hideMark/>
          </w:tcPr>
          <w:p w14:paraId="0D22B4BD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05" w:type="dxa"/>
            <w:hideMark/>
          </w:tcPr>
          <w:p w14:paraId="077C765A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1A</w:t>
            </w:r>
          </w:p>
        </w:tc>
        <w:tc>
          <w:tcPr>
            <w:tcW w:w="5004" w:type="dxa"/>
            <w:hideMark/>
          </w:tcPr>
          <w:p w14:paraId="4CD51D4E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Broj animacijskih aktivnosti prijenosa znanja i inovacija u poljoprivredi, šumarstvu i ruralnim područjima</w:t>
            </w:r>
          </w:p>
        </w:tc>
        <w:tc>
          <w:tcPr>
            <w:tcW w:w="1276" w:type="dxa"/>
            <w:hideMark/>
          </w:tcPr>
          <w:p w14:paraId="691E1A1F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34" w:type="dxa"/>
            <w:hideMark/>
          </w:tcPr>
          <w:p w14:paraId="35673296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92" w:type="dxa"/>
            <w:hideMark/>
          </w:tcPr>
          <w:p w14:paraId="530C7869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2.2.1.</w:t>
            </w:r>
          </w:p>
        </w:tc>
        <w:tc>
          <w:tcPr>
            <w:tcW w:w="992" w:type="dxa"/>
            <w:hideMark/>
          </w:tcPr>
          <w:p w14:paraId="20743EC5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19.3.2.</w:t>
            </w:r>
          </w:p>
        </w:tc>
        <w:tc>
          <w:tcPr>
            <w:tcW w:w="851" w:type="dxa"/>
            <w:hideMark/>
          </w:tcPr>
          <w:p w14:paraId="2698D140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</w:t>
            </w:r>
          </w:p>
        </w:tc>
        <w:tc>
          <w:tcPr>
            <w:tcW w:w="1276" w:type="dxa"/>
            <w:hideMark/>
          </w:tcPr>
          <w:p w14:paraId="4FA05B3E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19/19.3</w:t>
            </w:r>
          </w:p>
        </w:tc>
        <w:tc>
          <w:tcPr>
            <w:tcW w:w="992" w:type="dxa"/>
            <w:hideMark/>
          </w:tcPr>
          <w:p w14:paraId="55D92EF1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</w:t>
            </w:r>
          </w:p>
        </w:tc>
      </w:tr>
      <w:tr w:rsidR="00E74CDA" w:rsidRPr="00E74CDA" w14:paraId="580C0636" w14:textId="77777777" w:rsidTr="003C632C">
        <w:trPr>
          <w:trHeight w:val="600"/>
        </w:trPr>
        <w:tc>
          <w:tcPr>
            <w:tcW w:w="570" w:type="dxa"/>
            <w:hideMark/>
          </w:tcPr>
          <w:p w14:paraId="51722258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05" w:type="dxa"/>
            <w:hideMark/>
          </w:tcPr>
          <w:p w14:paraId="229C6875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1A</w:t>
            </w:r>
          </w:p>
        </w:tc>
        <w:tc>
          <w:tcPr>
            <w:tcW w:w="5004" w:type="dxa"/>
            <w:hideMark/>
          </w:tcPr>
          <w:p w14:paraId="656005DA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Broj sudionika u animacijskim aktivnostima prijenosa znanja i inovacija u poljoprivredi, šumarstvu i ruralnim područjima</w:t>
            </w:r>
          </w:p>
        </w:tc>
        <w:tc>
          <w:tcPr>
            <w:tcW w:w="1276" w:type="dxa"/>
            <w:hideMark/>
          </w:tcPr>
          <w:p w14:paraId="2DEC9F18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212</w:t>
            </w:r>
          </w:p>
        </w:tc>
        <w:tc>
          <w:tcPr>
            <w:tcW w:w="1134" w:type="dxa"/>
            <w:hideMark/>
          </w:tcPr>
          <w:p w14:paraId="4230A0C0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992" w:type="dxa"/>
            <w:hideMark/>
          </w:tcPr>
          <w:p w14:paraId="5E93C342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2.2.1.</w:t>
            </w:r>
          </w:p>
        </w:tc>
        <w:tc>
          <w:tcPr>
            <w:tcW w:w="992" w:type="dxa"/>
            <w:hideMark/>
          </w:tcPr>
          <w:p w14:paraId="65B6AF30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19.3.2.</w:t>
            </w:r>
          </w:p>
        </w:tc>
        <w:tc>
          <w:tcPr>
            <w:tcW w:w="851" w:type="dxa"/>
            <w:hideMark/>
          </w:tcPr>
          <w:p w14:paraId="2C6BBA14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</w:t>
            </w:r>
          </w:p>
        </w:tc>
        <w:tc>
          <w:tcPr>
            <w:tcW w:w="1276" w:type="dxa"/>
            <w:hideMark/>
          </w:tcPr>
          <w:p w14:paraId="3BCE4B7C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19/19.3</w:t>
            </w:r>
          </w:p>
        </w:tc>
        <w:tc>
          <w:tcPr>
            <w:tcW w:w="992" w:type="dxa"/>
            <w:hideMark/>
          </w:tcPr>
          <w:p w14:paraId="7432B30E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</w:t>
            </w:r>
          </w:p>
        </w:tc>
      </w:tr>
      <w:tr w:rsidR="00E74CDA" w:rsidRPr="00E74CDA" w14:paraId="1ED8F44B" w14:textId="77777777" w:rsidTr="003C632C">
        <w:trPr>
          <w:trHeight w:val="600"/>
        </w:trPr>
        <w:tc>
          <w:tcPr>
            <w:tcW w:w="570" w:type="dxa"/>
            <w:hideMark/>
          </w:tcPr>
          <w:p w14:paraId="605735A2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05" w:type="dxa"/>
            <w:hideMark/>
          </w:tcPr>
          <w:p w14:paraId="0CB176E6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1A</w:t>
            </w:r>
          </w:p>
        </w:tc>
        <w:tc>
          <w:tcPr>
            <w:tcW w:w="5004" w:type="dxa"/>
            <w:hideMark/>
          </w:tcPr>
          <w:p w14:paraId="0F2B1060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Broj animacijskih aktivnosti prijenosa znanja i inovacija u poljoprivredi, šumarstvu i ruralnim područjima</w:t>
            </w:r>
          </w:p>
        </w:tc>
        <w:tc>
          <w:tcPr>
            <w:tcW w:w="1276" w:type="dxa"/>
            <w:hideMark/>
          </w:tcPr>
          <w:p w14:paraId="1F271924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34" w:type="dxa"/>
            <w:hideMark/>
          </w:tcPr>
          <w:p w14:paraId="1C499CCB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992" w:type="dxa"/>
            <w:hideMark/>
          </w:tcPr>
          <w:p w14:paraId="4F10D137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2.2.2.</w:t>
            </w:r>
          </w:p>
        </w:tc>
        <w:tc>
          <w:tcPr>
            <w:tcW w:w="992" w:type="dxa"/>
            <w:hideMark/>
          </w:tcPr>
          <w:p w14:paraId="53371108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19.4.1.</w:t>
            </w:r>
          </w:p>
        </w:tc>
        <w:tc>
          <w:tcPr>
            <w:tcW w:w="851" w:type="dxa"/>
            <w:hideMark/>
          </w:tcPr>
          <w:p w14:paraId="029548E3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</w:t>
            </w:r>
          </w:p>
        </w:tc>
        <w:tc>
          <w:tcPr>
            <w:tcW w:w="1276" w:type="dxa"/>
            <w:hideMark/>
          </w:tcPr>
          <w:p w14:paraId="3419CBF0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19/19.4</w:t>
            </w:r>
          </w:p>
        </w:tc>
        <w:tc>
          <w:tcPr>
            <w:tcW w:w="992" w:type="dxa"/>
            <w:hideMark/>
          </w:tcPr>
          <w:p w14:paraId="5CB174C1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</w:t>
            </w:r>
          </w:p>
        </w:tc>
      </w:tr>
      <w:tr w:rsidR="00E74CDA" w:rsidRPr="00E74CDA" w14:paraId="6B54BD1A" w14:textId="77777777" w:rsidTr="003C632C">
        <w:trPr>
          <w:trHeight w:val="600"/>
        </w:trPr>
        <w:tc>
          <w:tcPr>
            <w:tcW w:w="570" w:type="dxa"/>
            <w:hideMark/>
          </w:tcPr>
          <w:p w14:paraId="0420B578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05" w:type="dxa"/>
            <w:hideMark/>
          </w:tcPr>
          <w:p w14:paraId="75DE765C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1A</w:t>
            </w:r>
          </w:p>
        </w:tc>
        <w:tc>
          <w:tcPr>
            <w:tcW w:w="5004" w:type="dxa"/>
            <w:hideMark/>
          </w:tcPr>
          <w:p w14:paraId="726FA958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Broj sudionika u animacijskim aktivnostima prijenosa znanja i inovacija u poljoprivredi, šumarstvu i ruralnim područjima</w:t>
            </w:r>
          </w:p>
        </w:tc>
        <w:tc>
          <w:tcPr>
            <w:tcW w:w="1276" w:type="dxa"/>
            <w:hideMark/>
          </w:tcPr>
          <w:p w14:paraId="1889B98F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214</w:t>
            </w:r>
          </w:p>
        </w:tc>
        <w:tc>
          <w:tcPr>
            <w:tcW w:w="1134" w:type="dxa"/>
            <w:hideMark/>
          </w:tcPr>
          <w:p w14:paraId="7F686D8B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80</w:t>
            </w:r>
          </w:p>
        </w:tc>
        <w:tc>
          <w:tcPr>
            <w:tcW w:w="992" w:type="dxa"/>
            <w:hideMark/>
          </w:tcPr>
          <w:p w14:paraId="643F689A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2.2.2.</w:t>
            </w:r>
          </w:p>
        </w:tc>
        <w:tc>
          <w:tcPr>
            <w:tcW w:w="992" w:type="dxa"/>
            <w:hideMark/>
          </w:tcPr>
          <w:p w14:paraId="6F9CC691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19.4.1.</w:t>
            </w:r>
          </w:p>
        </w:tc>
        <w:tc>
          <w:tcPr>
            <w:tcW w:w="851" w:type="dxa"/>
            <w:hideMark/>
          </w:tcPr>
          <w:p w14:paraId="6C7A94B8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</w:t>
            </w:r>
          </w:p>
        </w:tc>
        <w:tc>
          <w:tcPr>
            <w:tcW w:w="1276" w:type="dxa"/>
            <w:hideMark/>
          </w:tcPr>
          <w:p w14:paraId="35A85459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19/19.4</w:t>
            </w:r>
          </w:p>
        </w:tc>
        <w:tc>
          <w:tcPr>
            <w:tcW w:w="992" w:type="dxa"/>
            <w:hideMark/>
          </w:tcPr>
          <w:p w14:paraId="15B8BDC4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</w:t>
            </w:r>
          </w:p>
        </w:tc>
      </w:tr>
      <w:tr w:rsidR="00E74CDA" w:rsidRPr="00E74CDA" w14:paraId="3C3F9623" w14:textId="77777777" w:rsidTr="003C632C">
        <w:trPr>
          <w:trHeight w:val="600"/>
        </w:trPr>
        <w:tc>
          <w:tcPr>
            <w:tcW w:w="570" w:type="dxa"/>
            <w:hideMark/>
          </w:tcPr>
          <w:p w14:paraId="2CE7716D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05" w:type="dxa"/>
            <w:hideMark/>
          </w:tcPr>
          <w:p w14:paraId="45F73A7D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1B*</w:t>
            </w:r>
          </w:p>
        </w:tc>
        <w:tc>
          <w:tcPr>
            <w:tcW w:w="5004" w:type="dxa"/>
            <w:hideMark/>
          </w:tcPr>
          <w:p w14:paraId="388BA9B9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 xml:space="preserve">Broj projekata </w:t>
            </w:r>
            <w:proofErr w:type="spellStart"/>
            <w:r w:rsidRPr="00E74CDA">
              <w:rPr>
                <w:rFonts w:asciiTheme="majorHAnsi" w:hAnsiTheme="majorHAnsi" w:cstheme="majorHAnsi"/>
              </w:rPr>
              <w:t>međuteritorijalne</w:t>
            </w:r>
            <w:proofErr w:type="spellEnd"/>
            <w:r w:rsidRPr="00E74CDA">
              <w:rPr>
                <w:rFonts w:asciiTheme="majorHAnsi" w:hAnsiTheme="majorHAnsi" w:cstheme="majorHAnsi"/>
              </w:rPr>
              <w:t xml:space="preserve"> suradnje (nacionalna razina) (19.3.- 19.3.1 + 19.3.2)</w:t>
            </w:r>
            <w:r w:rsidRPr="00E74CDA">
              <w:rPr>
                <w:rFonts w:asciiTheme="majorHAnsi" w:hAnsiTheme="majorHAnsi" w:cstheme="majorHAnsi"/>
                <w:i/>
                <w:iCs/>
              </w:rPr>
              <w:t xml:space="preserve"> Članak 35(1c), Uredbe (EU)1303/2013</w:t>
            </w:r>
          </w:p>
        </w:tc>
        <w:tc>
          <w:tcPr>
            <w:tcW w:w="1276" w:type="dxa"/>
            <w:hideMark/>
          </w:tcPr>
          <w:p w14:paraId="2791872F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34" w:type="dxa"/>
            <w:hideMark/>
          </w:tcPr>
          <w:p w14:paraId="1AB214EC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  <w:hideMark/>
          </w:tcPr>
          <w:p w14:paraId="3CD96911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2.2.1.</w:t>
            </w:r>
          </w:p>
        </w:tc>
        <w:tc>
          <w:tcPr>
            <w:tcW w:w="992" w:type="dxa"/>
            <w:hideMark/>
          </w:tcPr>
          <w:p w14:paraId="7BA08804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19.3.2.</w:t>
            </w:r>
          </w:p>
        </w:tc>
        <w:tc>
          <w:tcPr>
            <w:tcW w:w="851" w:type="dxa"/>
            <w:hideMark/>
          </w:tcPr>
          <w:p w14:paraId="588EEF4C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</w:t>
            </w:r>
          </w:p>
        </w:tc>
        <w:tc>
          <w:tcPr>
            <w:tcW w:w="1276" w:type="dxa"/>
            <w:hideMark/>
          </w:tcPr>
          <w:p w14:paraId="7E7F1B89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19/19.3</w:t>
            </w:r>
          </w:p>
        </w:tc>
        <w:tc>
          <w:tcPr>
            <w:tcW w:w="992" w:type="dxa"/>
            <w:hideMark/>
          </w:tcPr>
          <w:p w14:paraId="6D504A4E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</w:t>
            </w:r>
          </w:p>
        </w:tc>
      </w:tr>
      <w:tr w:rsidR="00E74CDA" w:rsidRPr="00E74CDA" w14:paraId="494ED0B8" w14:textId="77777777" w:rsidTr="003C632C">
        <w:trPr>
          <w:trHeight w:val="600"/>
        </w:trPr>
        <w:tc>
          <w:tcPr>
            <w:tcW w:w="570" w:type="dxa"/>
            <w:hideMark/>
          </w:tcPr>
          <w:p w14:paraId="6E6F83AB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05" w:type="dxa"/>
            <w:hideMark/>
          </w:tcPr>
          <w:p w14:paraId="471B37D9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1B*</w:t>
            </w:r>
          </w:p>
        </w:tc>
        <w:tc>
          <w:tcPr>
            <w:tcW w:w="5004" w:type="dxa"/>
            <w:hideMark/>
          </w:tcPr>
          <w:p w14:paraId="7A3A5C11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Broj projekata transnacionalne suradnje (međunarodna razina) 19.3-19.3.1+19.3.2), Članak 35(1c), Uredbe (EU)1303/2013</w:t>
            </w:r>
          </w:p>
        </w:tc>
        <w:tc>
          <w:tcPr>
            <w:tcW w:w="1276" w:type="dxa"/>
            <w:hideMark/>
          </w:tcPr>
          <w:p w14:paraId="211EC27D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34" w:type="dxa"/>
            <w:hideMark/>
          </w:tcPr>
          <w:p w14:paraId="147EFBF1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2" w:type="dxa"/>
            <w:hideMark/>
          </w:tcPr>
          <w:p w14:paraId="6694063E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2.2.1.</w:t>
            </w:r>
          </w:p>
        </w:tc>
        <w:tc>
          <w:tcPr>
            <w:tcW w:w="992" w:type="dxa"/>
            <w:hideMark/>
          </w:tcPr>
          <w:p w14:paraId="57C0737B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19.3.2.</w:t>
            </w:r>
          </w:p>
        </w:tc>
        <w:tc>
          <w:tcPr>
            <w:tcW w:w="851" w:type="dxa"/>
            <w:hideMark/>
          </w:tcPr>
          <w:p w14:paraId="0D1B124C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</w:t>
            </w:r>
          </w:p>
        </w:tc>
        <w:tc>
          <w:tcPr>
            <w:tcW w:w="1276" w:type="dxa"/>
            <w:hideMark/>
          </w:tcPr>
          <w:p w14:paraId="6299B491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19/19.3</w:t>
            </w:r>
          </w:p>
        </w:tc>
        <w:tc>
          <w:tcPr>
            <w:tcW w:w="992" w:type="dxa"/>
            <w:hideMark/>
          </w:tcPr>
          <w:p w14:paraId="3DB0F90A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</w:t>
            </w:r>
          </w:p>
        </w:tc>
      </w:tr>
      <w:tr w:rsidR="00E74CDA" w:rsidRPr="00E74CDA" w14:paraId="117E0B59" w14:textId="77777777" w:rsidTr="003C632C">
        <w:trPr>
          <w:trHeight w:val="600"/>
        </w:trPr>
        <w:tc>
          <w:tcPr>
            <w:tcW w:w="570" w:type="dxa"/>
            <w:hideMark/>
          </w:tcPr>
          <w:p w14:paraId="6FAA05BF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05" w:type="dxa"/>
            <w:hideMark/>
          </w:tcPr>
          <w:p w14:paraId="68AB6798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1C</w:t>
            </w:r>
          </w:p>
        </w:tc>
        <w:tc>
          <w:tcPr>
            <w:tcW w:w="5004" w:type="dxa"/>
            <w:hideMark/>
          </w:tcPr>
          <w:p w14:paraId="12B23220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 xml:space="preserve">Broj organiziranih aktivnosti cjeloživotnog učenja  u svrhu osposobljavanja/stjecanja znanja i vještina </w:t>
            </w:r>
          </w:p>
        </w:tc>
        <w:tc>
          <w:tcPr>
            <w:tcW w:w="1276" w:type="dxa"/>
            <w:hideMark/>
          </w:tcPr>
          <w:p w14:paraId="7D4F5C03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34" w:type="dxa"/>
            <w:hideMark/>
          </w:tcPr>
          <w:p w14:paraId="0BC3D7F2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992" w:type="dxa"/>
            <w:hideMark/>
          </w:tcPr>
          <w:p w14:paraId="734016A8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2.2.2.</w:t>
            </w:r>
          </w:p>
        </w:tc>
        <w:tc>
          <w:tcPr>
            <w:tcW w:w="992" w:type="dxa"/>
            <w:hideMark/>
          </w:tcPr>
          <w:p w14:paraId="7CB230A0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19.4.1.</w:t>
            </w:r>
          </w:p>
        </w:tc>
        <w:tc>
          <w:tcPr>
            <w:tcW w:w="851" w:type="dxa"/>
            <w:hideMark/>
          </w:tcPr>
          <w:p w14:paraId="5B00653B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</w:t>
            </w:r>
          </w:p>
        </w:tc>
        <w:tc>
          <w:tcPr>
            <w:tcW w:w="1276" w:type="dxa"/>
            <w:hideMark/>
          </w:tcPr>
          <w:p w14:paraId="3938730F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19/19.4</w:t>
            </w:r>
          </w:p>
        </w:tc>
        <w:tc>
          <w:tcPr>
            <w:tcW w:w="992" w:type="dxa"/>
            <w:hideMark/>
          </w:tcPr>
          <w:p w14:paraId="45A2CC22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</w:t>
            </w:r>
          </w:p>
        </w:tc>
      </w:tr>
      <w:tr w:rsidR="00E74CDA" w:rsidRPr="00E74CDA" w14:paraId="6228AC50" w14:textId="77777777" w:rsidTr="003C632C">
        <w:trPr>
          <w:trHeight w:val="645"/>
        </w:trPr>
        <w:tc>
          <w:tcPr>
            <w:tcW w:w="570" w:type="dxa"/>
            <w:hideMark/>
          </w:tcPr>
          <w:p w14:paraId="2B860463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05" w:type="dxa"/>
            <w:hideMark/>
          </w:tcPr>
          <w:p w14:paraId="4F632680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1C*</w:t>
            </w:r>
          </w:p>
        </w:tc>
        <w:tc>
          <w:tcPr>
            <w:tcW w:w="5004" w:type="dxa"/>
            <w:hideMark/>
          </w:tcPr>
          <w:p w14:paraId="29C8E2DB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Broj sudionika u sudionika u programima cjeloživotnog učenja  u svrhu osposobljavanja/stjecanja znanja i vještina</w:t>
            </w:r>
          </w:p>
        </w:tc>
        <w:tc>
          <w:tcPr>
            <w:tcW w:w="1276" w:type="dxa"/>
            <w:hideMark/>
          </w:tcPr>
          <w:p w14:paraId="74BAB3F9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209</w:t>
            </w:r>
          </w:p>
        </w:tc>
        <w:tc>
          <w:tcPr>
            <w:tcW w:w="1134" w:type="dxa"/>
            <w:hideMark/>
          </w:tcPr>
          <w:p w14:paraId="7CBA6F58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992" w:type="dxa"/>
            <w:hideMark/>
          </w:tcPr>
          <w:p w14:paraId="174E801A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2.2.2.</w:t>
            </w:r>
          </w:p>
        </w:tc>
        <w:tc>
          <w:tcPr>
            <w:tcW w:w="992" w:type="dxa"/>
            <w:hideMark/>
          </w:tcPr>
          <w:p w14:paraId="3995261C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19.4.1.</w:t>
            </w:r>
          </w:p>
        </w:tc>
        <w:tc>
          <w:tcPr>
            <w:tcW w:w="851" w:type="dxa"/>
            <w:hideMark/>
          </w:tcPr>
          <w:p w14:paraId="29E3D0A6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</w:t>
            </w:r>
          </w:p>
        </w:tc>
        <w:tc>
          <w:tcPr>
            <w:tcW w:w="1276" w:type="dxa"/>
            <w:hideMark/>
          </w:tcPr>
          <w:p w14:paraId="23C826EE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19/19.4</w:t>
            </w:r>
          </w:p>
        </w:tc>
        <w:tc>
          <w:tcPr>
            <w:tcW w:w="992" w:type="dxa"/>
            <w:hideMark/>
          </w:tcPr>
          <w:p w14:paraId="508A3BE5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</w:t>
            </w:r>
          </w:p>
        </w:tc>
      </w:tr>
      <w:tr w:rsidR="00E74CDA" w:rsidRPr="00E74CDA" w14:paraId="0E284EDF" w14:textId="77777777" w:rsidTr="003C632C">
        <w:trPr>
          <w:trHeight w:val="600"/>
        </w:trPr>
        <w:tc>
          <w:tcPr>
            <w:tcW w:w="570" w:type="dxa"/>
            <w:hideMark/>
          </w:tcPr>
          <w:p w14:paraId="4D675706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05" w:type="dxa"/>
            <w:hideMark/>
          </w:tcPr>
          <w:p w14:paraId="1082527B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2A*</w:t>
            </w:r>
          </w:p>
        </w:tc>
        <w:tc>
          <w:tcPr>
            <w:tcW w:w="5004" w:type="dxa"/>
            <w:hideMark/>
          </w:tcPr>
          <w:p w14:paraId="72A2EF3B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 xml:space="preserve">Broj </w:t>
            </w:r>
            <w:proofErr w:type="spellStart"/>
            <w:r w:rsidRPr="00E74CDA">
              <w:rPr>
                <w:rFonts w:asciiTheme="majorHAnsi" w:hAnsiTheme="majorHAnsi" w:cstheme="majorHAnsi"/>
              </w:rPr>
              <w:t>PG</w:t>
            </w:r>
            <w:proofErr w:type="spellEnd"/>
            <w:r w:rsidRPr="00E74CDA">
              <w:rPr>
                <w:rFonts w:asciiTheme="majorHAnsi" w:hAnsiTheme="majorHAnsi" w:cstheme="majorHAnsi"/>
              </w:rPr>
              <w:t xml:space="preserve"> kojima je dodijeljena potpora u okviru </w:t>
            </w:r>
            <w:proofErr w:type="spellStart"/>
            <w:r w:rsidRPr="00E74CDA">
              <w:rPr>
                <w:rFonts w:asciiTheme="majorHAnsi" w:hAnsiTheme="majorHAnsi" w:cstheme="majorHAnsi"/>
              </w:rPr>
              <w:t>PRR</w:t>
            </w:r>
            <w:proofErr w:type="spellEnd"/>
            <w:r w:rsidRPr="00E74CDA">
              <w:rPr>
                <w:rFonts w:asciiTheme="majorHAnsi" w:hAnsiTheme="majorHAnsi" w:cstheme="majorHAnsi"/>
              </w:rPr>
              <w:t xml:space="preserve"> za ulaganja u restrukturiranje ili modernizaciju</w:t>
            </w:r>
          </w:p>
        </w:tc>
        <w:tc>
          <w:tcPr>
            <w:tcW w:w="1276" w:type="dxa"/>
            <w:hideMark/>
          </w:tcPr>
          <w:p w14:paraId="4A6B6C70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34" w:type="dxa"/>
            <w:hideMark/>
          </w:tcPr>
          <w:p w14:paraId="2D9160DF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992" w:type="dxa"/>
            <w:hideMark/>
          </w:tcPr>
          <w:p w14:paraId="3D3E04C8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1.1.2.</w:t>
            </w:r>
          </w:p>
        </w:tc>
        <w:tc>
          <w:tcPr>
            <w:tcW w:w="992" w:type="dxa"/>
            <w:hideMark/>
          </w:tcPr>
          <w:p w14:paraId="0F4A4839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4.1.1.</w:t>
            </w:r>
          </w:p>
        </w:tc>
        <w:tc>
          <w:tcPr>
            <w:tcW w:w="851" w:type="dxa"/>
            <w:hideMark/>
          </w:tcPr>
          <w:p w14:paraId="2FC164D6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1.1.</w:t>
            </w:r>
          </w:p>
        </w:tc>
        <w:tc>
          <w:tcPr>
            <w:tcW w:w="1276" w:type="dxa"/>
            <w:hideMark/>
          </w:tcPr>
          <w:p w14:paraId="29462D13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 xml:space="preserve">4/4.1. </w:t>
            </w:r>
          </w:p>
        </w:tc>
        <w:tc>
          <w:tcPr>
            <w:tcW w:w="992" w:type="dxa"/>
            <w:hideMark/>
          </w:tcPr>
          <w:p w14:paraId="043C08C0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</w:t>
            </w:r>
          </w:p>
        </w:tc>
      </w:tr>
      <w:tr w:rsidR="00E74CDA" w:rsidRPr="00E74CDA" w14:paraId="2B7AD533" w14:textId="77777777" w:rsidTr="003C632C">
        <w:trPr>
          <w:trHeight w:val="300"/>
        </w:trPr>
        <w:tc>
          <w:tcPr>
            <w:tcW w:w="570" w:type="dxa"/>
            <w:hideMark/>
          </w:tcPr>
          <w:p w14:paraId="3B667F6D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05" w:type="dxa"/>
            <w:hideMark/>
          </w:tcPr>
          <w:p w14:paraId="66335E33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2A*</w:t>
            </w:r>
          </w:p>
        </w:tc>
        <w:tc>
          <w:tcPr>
            <w:tcW w:w="5004" w:type="dxa"/>
            <w:hideMark/>
          </w:tcPr>
          <w:p w14:paraId="5BB1B00E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 xml:space="preserve">Broj </w:t>
            </w:r>
            <w:proofErr w:type="spellStart"/>
            <w:r w:rsidRPr="00E74CDA">
              <w:rPr>
                <w:rFonts w:asciiTheme="majorHAnsi" w:hAnsiTheme="majorHAnsi" w:cstheme="majorHAnsi"/>
              </w:rPr>
              <w:t>PG</w:t>
            </w:r>
            <w:proofErr w:type="spellEnd"/>
            <w:r w:rsidRPr="00E74CDA">
              <w:rPr>
                <w:rFonts w:asciiTheme="majorHAnsi" w:hAnsiTheme="majorHAnsi" w:cstheme="majorHAnsi"/>
              </w:rPr>
              <w:t xml:space="preserve">-a koja su dobili potporu za razvoj malih </w:t>
            </w:r>
            <w:proofErr w:type="spellStart"/>
            <w:r w:rsidRPr="00E74CDA">
              <w:rPr>
                <w:rFonts w:asciiTheme="majorHAnsi" w:hAnsiTheme="majorHAnsi" w:cstheme="majorHAnsi"/>
              </w:rPr>
              <w:t>PG</w:t>
            </w:r>
            <w:proofErr w:type="spellEnd"/>
          </w:p>
        </w:tc>
        <w:tc>
          <w:tcPr>
            <w:tcW w:w="1276" w:type="dxa"/>
            <w:hideMark/>
          </w:tcPr>
          <w:p w14:paraId="449F2C59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51</w:t>
            </w:r>
          </w:p>
        </w:tc>
        <w:tc>
          <w:tcPr>
            <w:tcW w:w="1134" w:type="dxa"/>
            <w:hideMark/>
          </w:tcPr>
          <w:p w14:paraId="119C2998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45</w:t>
            </w:r>
          </w:p>
        </w:tc>
        <w:tc>
          <w:tcPr>
            <w:tcW w:w="992" w:type="dxa"/>
            <w:hideMark/>
          </w:tcPr>
          <w:p w14:paraId="2EF479B2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1.1.1.</w:t>
            </w:r>
          </w:p>
        </w:tc>
        <w:tc>
          <w:tcPr>
            <w:tcW w:w="992" w:type="dxa"/>
            <w:hideMark/>
          </w:tcPr>
          <w:p w14:paraId="73ED7475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6.3.1.</w:t>
            </w:r>
          </w:p>
        </w:tc>
        <w:tc>
          <w:tcPr>
            <w:tcW w:w="851" w:type="dxa"/>
            <w:hideMark/>
          </w:tcPr>
          <w:p w14:paraId="7799A1B0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1.1.</w:t>
            </w:r>
          </w:p>
        </w:tc>
        <w:tc>
          <w:tcPr>
            <w:tcW w:w="1276" w:type="dxa"/>
            <w:hideMark/>
          </w:tcPr>
          <w:p w14:paraId="5BDCE06F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6/6.3.</w:t>
            </w:r>
          </w:p>
        </w:tc>
        <w:tc>
          <w:tcPr>
            <w:tcW w:w="992" w:type="dxa"/>
            <w:hideMark/>
          </w:tcPr>
          <w:p w14:paraId="439AFA22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</w:t>
            </w:r>
          </w:p>
        </w:tc>
      </w:tr>
      <w:tr w:rsidR="00E74CDA" w:rsidRPr="00E74CDA" w14:paraId="1C3B98C7" w14:textId="77777777" w:rsidTr="003C632C">
        <w:trPr>
          <w:trHeight w:val="600"/>
        </w:trPr>
        <w:tc>
          <w:tcPr>
            <w:tcW w:w="570" w:type="dxa"/>
            <w:hideMark/>
          </w:tcPr>
          <w:p w14:paraId="2251E01E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05" w:type="dxa"/>
            <w:hideMark/>
          </w:tcPr>
          <w:p w14:paraId="3A0FA987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6A</w:t>
            </w:r>
          </w:p>
        </w:tc>
        <w:tc>
          <w:tcPr>
            <w:tcW w:w="5004" w:type="dxa"/>
            <w:hideMark/>
          </w:tcPr>
          <w:p w14:paraId="05E77697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Broj radnih mjesta stvorenih u projektima za koje je dodijeljena potpora</w:t>
            </w:r>
          </w:p>
        </w:tc>
        <w:tc>
          <w:tcPr>
            <w:tcW w:w="1276" w:type="dxa"/>
            <w:hideMark/>
          </w:tcPr>
          <w:p w14:paraId="30A28DC3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34" w:type="dxa"/>
            <w:hideMark/>
          </w:tcPr>
          <w:p w14:paraId="1B6AF42E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  <w:hideMark/>
          </w:tcPr>
          <w:p w14:paraId="71265044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1.2.2.</w:t>
            </w:r>
          </w:p>
        </w:tc>
        <w:tc>
          <w:tcPr>
            <w:tcW w:w="992" w:type="dxa"/>
            <w:hideMark/>
          </w:tcPr>
          <w:p w14:paraId="65E22C73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6.4.1.</w:t>
            </w:r>
          </w:p>
        </w:tc>
        <w:tc>
          <w:tcPr>
            <w:tcW w:w="851" w:type="dxa"/>
            <w:hideMark/>
          </w:tcPr>
          <w:p w14:paraId="30D01969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1.2.</w:t>
            </w:r>
          </w:p>
        </w:tc>
        <w:tc>
          <w:tcPr>
            <w:tcW w:w="1276" w:type="dxa"/>
            <w:hideMark/>
          </w:tcPr>
          <w:p w14:paraId="3A6B9E9F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6/6.4.</w:t>
            </w:r>
          </w:p>
        </w:tc>
        <w:tc>
          <w:tcPr>
            <w:tcW w:w="992" w:type="dxa"/>
            <w:hideMark/>
          </w:tcPr>
          <w:p w14:paraId="4DB10C8F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</w:t>
            </w:r>
          </w:p>
        </w:tc>
      </w:tr>
      <w:tr w:rsidR="00E74CDA" w:rsidRPr="00E74CDA" w14:paraId="169939D9" w14:textId="77777777" w:rsidTr="003C632C">
        <w:trPr>
          <w:trHeight w:val="900"/>
        </w:trPr>
        <w:tc>
          <w:tcPr>
            <w:tcW w:w="570" w:type="dxa"/>
            <w:hideMark/>
          </w:tcPr>
          <w:p w14:paraId="3560C111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lastRenderedPageBreak/>
              <w:t>6</w:t>
            </w:r>
          </w:p>
        </w:tc>
        <w:tc>
          <w:tcPr>
            <w:tcW w:w="805" w:type="dxa"/>
            <w:hideMark/>
          </w:tcPr>
          <w:p w14:paraId="5BDB7A8C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6A</w:t>
            </w:r>
          </w:p>
        </w:tc>
        <w:tc>
          <w:tcPr>
            <w:tcW w:w="5004" w:type="dxa"/>
            <w:hideMark/>
          </w:tcPr>
          <w:p w14:paraId="0DF930BE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 xml:space="preserve">Broj animacijskih aktivnosti LAG-a u svrhu promicanja društvene uključenosti, smanjenja siromaštva te jačanja diverzifikacije, razvoja malog poduzetništva i kreiranja radnih mjesta </w:t>
            </w:r>
          </w:p>
        </w:tc>
        <w:tc>
          <w:tcPr>
            <w:tcW w:w="1276" w:type="dxa"/>
            <w:hideMark/>
          </w:tcPr>
          <w:p w14:paraId="0F04FA49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34" w:type="dxa"/>
            <w:hideMark/>
          </w:tcPr>
          <w:p w14:paraId="70FA1A60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92" w:type="dxa"/>
            <w:hideMark/>
          </w:tcPr>
          <w:p w14:paraId="45D2DB85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2.2.1.</w:t>
            </w:r>
          </w:p>
        </w:tc>
        <w:tc>
          <w:tcPr>
            <w:tcW w:w="992" w:type="dxa"/>
            <w:hideMark/>
          </w:tcPr>
          <w:p w14:paraId="453C66E4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19.3.2.</w:t>
            </w:r>
          </w:p>
        </w:tc>
        <w:tc>
          <w:tcPr>
            <w:tcW w:w="851" w:type="dxa"/>
            <w:hideMark/>
          </w:tcPr>
          <w:p w14:paraId="3944100C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</w:t>
            </w:r>
          </w:p>
        </w:tc>
        <w:tc>
          <w:tcPr>
            <w:tcW w:w="1276" w:type="dxa"/>
            <w:hideMark/>
          </w:tcPr>
          <w:p w14:paraId="03286053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19/19.3.</w:t>
            </w:r>
          </w:p>
        </w:tc>
        <w:tc>
          <w:tcPr>
            <w:tcW w:w="992" w:type="dxa"/>
            <w:hideMark/>
          </w:tcPr>
          <w:p w14:paraId="3F03F9F6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</w:t>
            </w:r>
          </w:p>
        </w:tc>
      </w:tr>
      <w:tr w:rsidR="00E74CDA" w:rsidRPr="00E74CDA" w14:paraId="252E93FA" w14:textId="77777777" w:rsidTr="003C632C">
        <w:trPr>
          <w:trHeight w:val="900"/>
        </w:trPr>
        <w:tc>
          <w:tcPr>
            <w:tcW w:w="570" w:type="dxa"/>
            <w:hideMark/>
          </w:tcPr>
          <w:p w14:paraId="0F4CFE65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05" w:type="dxa"/>
            <w:hideMark/>
          </w:tcPr>
          <w:p w14:paraId="17C823E3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6A</w:t>
            </w:r>
          </w:p>
        </w:tc>
        <w:tc>
          <w:tcPr>
            <w:tcW w:w="5004" w:type="dxa"/>
            <w:hideMark/>
          </w:tcPr>
          <w:p w14:paraId="741581F8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 xml:space="preserve">Broj sudionika animacijskih aktivnosti LAG-a u svrhu promicanja društvene uključenosti, smanjenja siromaštva te jačanja diverzifikacije, razvoja malog poduzetništva i kreiranja radnih mjesta </w:t>
            </w:r>
          </w:p>
        </w:tc>
        <w:tc>
          <w:tcPr>
            <w:tcW w:w="1276" w:type="dxa"/>
            <w:hideMark/>
          </w:tcPr>
          <w:p w14:paraId="27D68B2B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120</w:t>
            </w:r>
          </w:p>
        </w:tc>
        <w:tc>
          <w:tcPr>
            <w:tcW w:w="1134" w:type="dxa"/>
            <w:hideMark/>
          </w:tcPr>
          <w:p w14:paraId="2E4C6E70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992" w:type="dxa"/>
            <w:hideMark/>
          </w:tcPr>
          <w:p w14:paraId="453593BB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2.2.1.</w:t>
            </w:r>
          </w:p>
        </w:tc>
        <w:tc>
          <w:tcPr>
            <w:tcW w:w="992" w:type="dxa"/>
            <w:hideMark/>
          </w:tcPr>
          <w:p w14:paraId="33714CFE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19.3.2.</w:t>
            </w:r>
          </w:p>
        </w:tc>
        <w:tc>
          <w:tcPr>
            <w:tcW w:w="851" w:type="dxa"/>
            <w:hideMark/>
          </w:tcPr>
          <w:p w14:paraId="1CA380DF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</w:t>
            </w:r>
          </w:p>
        </w:tc>
        <w:tc>
          <w:tcPr>
            <w:tcW w:w="1276" w:type="dxa"/>
            <w:hideMark/>
          </w:tcPr>
          <w:p w14:paraId="4793A142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19/19.3.</w:t>
            </w:r>
          </w:p>
        </w:tc>
        <w:tc>
          <w:tcPr>
            <w:tcW w:w="992" w:type="dxa"/>
            <w:hideMark/>
          </w:tcPr>
          <w:p w14:paraId="059E4E4D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</w:t>
            </w:r>
          </w:p>
        </w:tc>
      </w:tr>
      <w:tr w:rsidR="00E74CDA" w:rsidRPr="00E74CDA" w14:paraId="74A160BE" w14:textId="77777777" w:rsidTr="003C632C">
        <w:trPr>
          <w:trHeight w:val="900"/>
        </w:trPr>
        <w:tc>
          <w:tcPr>
            <w:tcW w:w="570" w:type="dxa"/>
            <w:hideMark/>
          </w:tcPr>
          <w:p w14:paraId="06EF938C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05" w:type="dxa"/>
            <w:hideMark/>
          </w:tcPr>
          <w:p w14:paraId="2FFC1E67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6A</w:t>
            </w:r>
          </w:p>
        </w:tc>
        <w:tc>
          <w:tcPr>
            <w:tcW w:w="5004" w:type="dxa"/>
            <w:hideMark/>
          </w:tcPr>
          <w:p w14:paraId="76272643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Broj animacijskih aktivnosti LAG-a u svrhu promicanja društvene uključenosti, smanjenja siromaštva te jačanja diverzifikacije, razvoja malog poduzetništva i kreiranja radnih mjesta</w:t>
            </w:r>
          </w:p>
        </w:tc>
        <w:tc>
          <w:tcPr>
            <w:tcW w:w="1276" w:type="dxa"/>
            <w:hideMark/>
          </w:tcPr>
          <w:p w14:paraId="15B5B5F9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34" w:type="dxa"/>
            <w:hideMark/>
          </w:tcPr>
          <w:p w14:paraId="2561DEC6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992" w:type="dxa"/>
            <w:hideMark/>
          </w:tcPr>
          <w:p w14:paraId="36AC26AD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2.2.2.</w:t>
            </w:r>
          </w:p>
        </w:tc>
        <w:tc>
          <w:tcPr>
            <w:tcW w:w="992" w:type="dxa"/>
            <w:hideMark/>
          </w:tcPr>
          <w:p w14:paraId="05547F09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19.4.1.</w:t>
            </w:r>
          </w:p>
        </w:tc>
        <w:tc>
          <w:tcPr>
            <w:tcW w:w="851" w:type="dxa"/>
            <w:hideMark/>
          </w:tcPr>
          <w:p w14:paraId="159A3AFD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</w:t>
            </w:r>
          </w:p>
        </w:tc>
        <w:tc>
          <w:tcPr>
            <w:tcW w:w="1276" w:type="dxa"/>
            <w:hideMark/>
          </w:tcPr>
          <w:p w14:paraId="58D5B0A9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19/19.4</w:t>
            </w:r>
          </w:p>
        </w:tc>
        <w:tc>
          <w:tcPr>
            <w:tcW w:w="992" w:type="dxa"/>
            <w:hideMark/>
          </w:tcPr>
          <w:p w14:paraId="18E71871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</w:t>
            </w:r>
          </w:p>
        </w:tc>
      </w:tr>
      <w:tr w:rsidR="00E74CDA" w:rsidRPr="00E74CDA" w14:paraId="0B8A33BA" w14:textId="77777777" w:rsidTr="003C632C">
        <w:trPr>
          <w:trHeight w:val="1200"/>
        </w:trPr>
        <w:tc>
          <w:tcPr>
            <w:tcW w:w="570" w:type="dxa"/>
            <w:hideMark/>
          </w:tcPr>
          <w:p w14:paraId="6E0953FA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05" w:type="dxa"/>
            <w:hideMark/>
          </w:tcPr>
          <w:p w14:paraId="76E7A0DE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6A</w:t>
            </w:r>
          </w:p>
        </w:tc>
        <w:tc>
          <w:tcPr>
            <w:tcW w:w="5004" w:type="dxa"/>
            <w:hideMark/>
          </w:tcPr>
          <w:p w14:paraId="2F135903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 xml:space="preserve">Broj sudionika animacijskih aktivnosti LAG-a u svrhu promicanja društvene uključenosti, smanjenja siromaštva te jačanja diverzifikacije, razvoja malog poduzetništva i kreiranja radnih mjesta </w:t>
            </w:r>
          </w:p>
        </w:tc>
        <w:tc>
          <w:tcPr>
            <w:tcW w:w="1276" w:type="dxa"/>
            <w:hideMark/>
          </w:tcPr>
          <w:p w14:paraId="2C33DDA6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1134" w:type="dxa"/>
            <w:hideMark/>
          </w:tcPr>
          <w:p w14:paraId="7016F8B6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992" w:type="dxa"/>
            <w:hideMark/>
          </w:tcPr>
          <w:p w14:paraId="3C5046DE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2.2.2.</w:t>
            </w:r>
          </w:p>
        </w:tc>
        <w:tc>
          <w:tcPr>
            <w:tcW w:w="992" w:type="dxa"/>
            <w:hideMark/>
          </w:tcPr>
          <w:p w14:paraId="6EBB8A16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19.4.1.</w:t>
            </w:r>
          </w:p>
        </w:tc>
        <w:tc>
          <w:tcPr>
            <w:tcW w:w="851" w:type="dxa"/>
            <w:hideMark/>
          </w:tcPr>
          <w:p w14:paraId="2BAD6D39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</w:t>
            </w:r>
          </w:p>
        </w:tc>
        <w:tc>
          <w:tcPr>
            <w:tcW w:w="1276" w:type="dxa"/>
            <w:hideMark/>
          </w:tcPr>
          <w:p w14:paraId="3743E7AB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19/19.4</w:t>
            </w:r>
          </w:p>
        </w:tc>
        <w:tc>
          <w:tcPr>
            <w:tcW w:w="992" w:type="dxa"/>
            <w:hideMark/>
          </w:tcPr>
          <w:p w14:paraId="431B5B4B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</w:t>
            </w:r>
          </w:p>
        </w:tc>
      </w:tr>
      <w:tr w:rsidR="00E74CDA" w:rsidRPr="00E74CDA" w14:paraId="033A2F1A" w14:textId="77777777" w:rsidTr="003C632C">
        <w:trPr>
          <w:trHeight w:val="600"/>
        </w:trPr>
        <w:tc>
          <w:tcPr>
            <w:tcW w:w="570" w:type="dxa"/>
            <w:hideMark/>
          </w:tcPr>
          <w:p w14:paraId="4FEF1420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05" w:type="dxa"/>
            <w:hideMark/>
          </w:tcPr>
          <w:p w14:paraId="21E3FA40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6B</w:t>
            </w:r>
          </w:p>
        </w:tc>
        <w:tc>
          <w:tcPr>
            <w:tcW w:w="5004" w:type="dxa"/>
            <w:hideMark/>
          </w:tcPr>
          <w:p w14:paraId="42042EEF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 xml:space="preserve">Broj animacijskih aktivnosti usmjerenih poticanju lokalnog razvoja u ruralnim područjima  </w:t>
            </w:r>
          </w:p>
        </w:tc>
        <w:tc>
          <w:tcPr>
            <w:tcW w:w="1276" w:type="dxa"/>
            <w:hideMark/>
          </w:tcPr>
          <w:p w14:paraId="10262DFA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92</w:t>
            </w:r>
          </w:p>
        </w:tc>
        <w:tc>
          <w:tcPr>
            <w:tcW w:w="1134" w:type="dxa"/>
            <w:hideMark/>
          </w:tcPr>
          <w:p w14:paraId="628B6091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992" w:type="dxa"/>
            <w:hideMark/>
          </w:tcPr>
          <w:p w14:paraId="18048E98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2.2.2.</w:t>
            </w:r>
          </w:p>
        </w:tc>
        <w:tc>
          <w:tcPr>
            <w:tcW w:w="992" w:type="dxa"/>
            <w:hideMark/>
          </w:tcPr>
          <w:p w14:paraId="01DF10A0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19.4.1.</w:t>
            </w:r>
          </w:p>
        </w:tc>
        <w:tc>
          <w:tcPr>
            <w:tcW w:w="851" w:type="dxa"/>
            <w:hideMark/>
          </w:tcPr>
          <w:p w14:paraId="658D6E77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</w:t>
            </w:r>
          </w:p>
        </w:tc>
        <w:tc>
          <w:tcPr>
            <w:tcW w:w="1276" w:type="dxa"/>
            <w:hideMark/>
          </w:tcPr>
          <w:p w14:paraId="7DD3A8BD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19/19.4</w:t>
            </w:r>
          </w:p>
        </w:tc>
        <w:tc>
          <w:tcPr>
            <w:tcW w:w="992" w:type="dxa"/>
            <w:hideMark/>
          </w:tcPr>
          <w:p w14:paraId="3BFD65E1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</w:t>
            </w:r>
          </w:p>
        </w:tc>
      </w:tr>
      <w:tr w:rsidR="00E74CDA" w:rsidRPr="00E74CDA" w14:paraId="4E1C57F8" w14:textId="77777777" w:rsidTr="003C632C">
        <w:trPr>
          <w:trHeight w:val="600"/>
        </w:trPr>
        <w:tc>
          <w:tcPr>
            <w:tcW w:w="570" w:type="dxa"/>
            <w:hideMark/>
          </w:tcPr>
          <w:p w14:paraId="6A2D9B0F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05" w:type="dxa"/>
            <w:hideMark/>
          </w:tcPr>
          <w:p w14:paraId="72A28B81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6B</w:t>
            </w:r>
          </w:p>
        </w:tc>
        <w:tc>
          <w:tcPr>
            <w:tcW w:w="5004" w:type="dxa"/>
            <w:hideMark/>
          </w:tcPr>
          <w:p w14:paraId="60CECAC6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 xml:space="preserve">Broj sudionika animacijskih aktivnosti usmjerenih poticanju lokalnog razvoja u ruralnim područjima </w:t>
            </w:r>
          </w:p>
        </w:tc>
        <w:tc>
          <w:tcPr>
            <w:tcW w:w="1276" w:type="dxa"/>
            <w:hideMark/>
          </w:tcPr>
          <w:p w14:paraId="32F8725F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768</w:t>
            </w:r>
          </w:p>
        </w:tc>
        <w:tc>
          <w:tcPr>
            <w:tcW w:w="1134" w:type="dxa"/>
            <w:hideMark/>
          </w:tcPr>
          <w:p w14:paraId="75B36DEB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150</w:t>
            </w:r>
          </w:p>
        </w:tc>
        <w:tc>
          <w:tcPr>
            <w:tcW w:w="992" w:type="dxa"/>
            <w:hideMark/>
          </w:tcPr>
          <w:p w14:paraId="7F8CD837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2.2.2.</w:t>
            </w:r>
          </w:p>
        </w:tc>
        <w:tc>
          <w:tcPr>
            <w:tcW w:w="992" w:type="dxa"/>
            <w:hideMark/>
          </w:tcPr>
          <w:p w14:paraId="594FAA58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19.4.1.</w:t>
            </w:r>
          </w:p>
        </w:tc>
        <w:tc>
          <w:tcPr>
            <w:tcW w:w="851" w:type="dxa"/>
            <w:hideMark/>
          </w:tcPr>
          <w:p w14:paraId="6046CF41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2.2.</w:t>
            </w:r>
          </w:p>
        </w:tc>
        <w:tc>
          <w:tcPr>
            <w:tcW w:w="1276" w:type="dxa"/>
            <w:hideMark/>
          </w:tcPr>
          <w:p w14:paraId="1789CFED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19/19.4</w:t>
            </w:r>
          </w:p>
        </w:tc>
        <w:tc>
          <w:tcPr>
            <w:tcW w:w="992" w:type="dxa"/>
            <w:hideMark/>
          </w:tcPr>
          <w:p w14:paraId="1CFA6C60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</w:t>
            </w:r>
          </w:p>
        </w:tc>
      </w:tr>
      <w:tr w:rsidR="00E74CDA" w:rsidRPr="00E74CDA" w14:paraId="5EC5EF16" w14:textId="77777777" w:rsidTr="003C632C">
        <w:trPr>
          <w:trHeight w:val="1482"/>
        </w:trPr>
        <w:tc>
          <w:tcPr>
            <w:tcW w:w="570" w:type="dxa"/>
            <w:hideMark/>
          </w:tcPr>
          <w:p w14:paraId="3067AEAB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05" w:type="dxa"/>
            <w:hideMark/>
          </w:tcPr>
          <w:p w14:paraId="14A4AD57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6B*</w:t>
            </w:r>
          </w:p>
        </w:tc>
        <w:tc>
          <w:tcPr>
            <w:tcW w:w="5004" w:type="dxa"/>
            <w:hideMark/>
          </w:tcPr>
          <w:p w14:paraId="0C9AA692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Postotak ruralnog stanovništva koje ima koristi od poboljšanih usluga/infrastruktura</w:t>
            </w:r>
          </w:p>
        </w:tc>
        <w:tc>
          <w:tcPr>
            <w:tcW w:w="1276" w:type="dxa"/>
            <w:hideMark/>
          </w:tcPr>
          <w:p w14:paraId="5501EBF8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13,35%</w:t>
            </w:r>
          </w:p>
        </w:tc>
        <w:tc>
          <w:tcPr>
            <w:tcW w:w="1134" w:type="dxa"/>
            <w:hideMark/>
          </w:tcPr>
          <w:p w14:paraId="67161943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992" w:type="dxa"/>
            <w:hideMark/>
          </w:tcPr>
          <w:p w14:paraId="55D404CB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2.1.1.</w:t>
            </w:r>
          </w:p>
        </w:tc>
        <w:tc>
          <w:tcPr>
            <w:tcW w:w="992" w:type="dxa"/>
            <w:hideMark/>
          </w:tcPr>
          <w:p w14:paraId="41C8B756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7.4.1.</w:t>
            </w:r>
          </w:p>
        </w:tc>
        <w:tc>
          <w:tcPr>
            <w:tcW w:w="851" w:type="dxa"/>
            <w:hideMark/>
          </w:tcPr>
          <w:p w14:paraId="4C2E450B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2.1.</w:t>
            </w:r>
          </w:p>
        </w:tc>
        <w:tc>
          <w:tcPr>
            <w:tcW w:w="1276" w:type="dxa"/>
            <w:hideMark/>
          </w:tcPr>
          <w:p w14:paraId="261B98EE" w14:textId="77777777" w:rsidR="00E74CDA" w:rsidRPr="00E74CDA" w:rsidRDefault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7/7.4.</w:t>
            </w:r>
          </w:p>
        </w:tc>
        <w:tc>
          <w:tcPr>
            <w:tcW w:w="992" w:type="dxa"/>
            <w:hideMark/>
          </w:tcPr>
          <w:p w14:paraId="0BC6A573" w14:textId="77777777" w:rsidR="00E74CDA" w:rsidRPr="00E74CDA" w:rsidRDefault="00E74CDA" w:rsidP="00E74CDA">
            <w:pPr>
              <w:rPr>
                <w:rFonts w:asciiTheme="majorHAnsi" w:hAnsiTheme="majorHAnsi" w:cstheme="majorHAnsi"/>
              </w:rPr>
            </w:pPr>
            <w:r w:rsidRPr="00E74CDA">
              <w:rPr>
                <w:rFonts w:asciiTheme="majorHAnsi" w:hAnsiTheme="majorHAnsi" w:cstheme="majorHAnsi"/>
              </w:rPr>
              <w:t>2</w:t>
            </w:r>
          </w:p>
        </w:tc>
      </w:tr>
    </w:tbl>
    <w:p w14:paraId="16AC21CB" w14:textId="77777777" w:rsidR="00E47562" w:rsidRPr="00E47562" w:rsidRDefault="00E47562" w:rsidP="00E47562">
      <w:pPr>
        <w:rPr>
          <w:rFonts w:asciiTheme="majorHAnsi" w:hAnsiTheme="majorHAnsi" w:cstheme="majorHAnsi"/>
        </w:rPr>
      </w:pPr>
    </w:p>
    <w:p w14:paraId="3493778B" w14:textId="18B9C375" w:rsidR="00E47562" w:rsidRPr="00E47562" w:rsidRDefault="00615AF1" w:rsidP="008503F8">
      <w:pPr>
        <w:pStyle w:val="Bezproreda"/>
        <w:spacing w:line="360" w:lineRule="auto"/>
        <w:ind w:left="720"/>
        <w:jc w:val="center"/>
        <w:rPr>
          <w:rFonts w:asciiTheme="majorHAnsi" w:hAnsiTheme="majorHAnsi" w:cstheme="majorHAnsi"/>
        </w:rPr>
      </w:pPr>
      <w:r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 xml:space="preserve">Izvor: Stručna služba LAG-a SAVA, </w:t>
      </w:r>
      <w:r w:rsidR="00240436">
        <w:rPr>
          <w:rFonts w:ascii="Calibri Light" w:hAnsi="Calibri Light" w:cs="Calibri Light"/>
          <w:i/>
          <w:iCs/>
          <w:color w:val="233F60"/>
          <w:sz w:val="20"/>
          <w:szCs w:val="20"/>
        </w:rPr>
        <w:t>studeni 2025</w:t>
      </w:r>
      <w:r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>.</w:t>
      </w:r>
    </w:p>
    <w:p w14:paraId="463EDE26" w14:textId="77777777" w:rsidR="00E47562" w:rsidRPr="00E47562" w:rsidRDefault="00E47562" w:rsidP="00E47562">
      <w:pPr>
        <w:rPr>
          <w:rFonts w:asciiTheme="majorHAnsi" w:hAnsiTheme="majorHAnsi" w:cstheme="majorHAnsi"/>
        </w:rPr>
        <w:sectPr w:rsidR="00E47562" w:rsidRPr="00E47562" w:rsidSect="003C632C">
          <w:pgSz w:w="16838" w:h="11906" w:orient="landscape" w:code="9"/>
          <w:pgMar w:top="1134" w:right="1417" w:bottom="1417" w:left="1417" w:header="1134" w:footer="1134" w:gutter="0"/>
          <w:cols w:space="708"/>
          <w:titlePg/>
          <w:docGrid w:linePitch="360"/>
        </w:sectPr>
      </w:pPr>
    </w:p>
    <w:p w14:paraId="655E1A72" w14:textId="77777777" w:rsidR="00CB0109" w:rsidRPr="008503F8" w:rsidRDefault="00CB0109" w:rsidP="008503F8">
      <w:pPr>
        <w:pStyle w:val="Naslov1"/>
      </w:pPr>
      <w:bookmarkStart w:id="25" w:name="_Toc212823178"/>
      <w:proofErr w:type="spellStart"/>
      <w:r w:rsidRPr="008503F8">
        <w:lastRenderedPageBreak/>
        <w:t>Podmjera</w:t>
      </w:r>
      <w:proofErr w:type="spellEnd"/>
      <w:r w:rsidRPr="008503F8">
        <w:t xml:space="preserve"> 19.2. “Provedba operacija unutar </w:t>
      </w:r>
      <w:proofErr w:type="spellStart"/>
      <w:r w:rsidRPr="008503F8">
        <w:t>CLLD</w:t>
      </w:r>
      <w:proofErr w:type="spellEnd"/>
      <w:r w:rsidRPr="008503F8">
        <w:t xml:space="preserve"> strategije”</w:t>
      </w:r>
      <w:bookmarkEnd w:id="25"/>
    </w:p>
    <w:p w14:paraId="738C3870" w14:textId="77777777" w:rsidR="00CB0109" w:rsidRPr="008503F8" w:rsidRDefault="00CB0109">
      <w:pPr>
        <w:rPr>
          <w:rStyle w:val="Jakoisticanje"/>
        </w:rPr>
      </w:pPr>
    </w:p>
    <w:p w14:paraId="4D813A1E" w14:textId="2F24BBB7" w:rsidR="006074BE" w:rsidRPr="00DC52CE" w:rsidRDefault="008503F8" w:rsidP="00DC52CE">
      <w:pPr>
        <w:pStyle w:val="Naslov3"/>
      </w:pPr>
      <w:bookmarkStart w:id="26" w:name="_Toc212823179"/>
      <w:r w:rsidRPr="00DC52CE">
        <w:rPr>
          <w:rStyle w:val="Jakoisticanje"/>
          <w:i w:val="0"/>
          <w:iCs w:val="0"/>
          <w:color w:val="1F3763" w:themeColor="accent1" w:themeShade="7F"/>
        </w:rPr>
        <w:t xml:space="preserve">Tablica 7: </w:t>
      </w:r>
      <w:r w:rsidR="009C0B89" w:rsidRPr="00DC52CE">
        <w:t xml:space="preserve">Odnos </w:t>
      </w:r>
      <w:r w:rsidR="009116F9" w:rsidRPr="00DC52CE">
        <w:t>dodijeljenih</w:t>
      </w:r>
      <w:r w:rsidR="009C0B89" w:rsidRPr="00DC52CE">
        <w:t xml:space="preserve"> i isplaćenih sredstava na dan 30.10.2024.</w:t>
      </w:r>
      <w:bookmarkEnd w:id="26"/>
    </w:p>
    <w:tbl>
      <w:tblPr>
        <w:tblW w:w="9209" w:type="dxa"/>
        <w:tblLook w:val="04A0" w:firstRow="1" w:lastRow="0" w:firstColumn="1" w:lastColumn="0" w:noHBand="0" w:noVBand="1"/>
      </w:tblPr>
      <w:tblGrid>
        <w:gridCol w:w="2782"/>
        <w:gridCol w:w="2152"/>
        <w:gridCol w:w="1990"/>
        <w:gridCol w:w="2285"/>
      </w:tblGrid>
      <w:tr w:rsidR="009C0B89" w:rsidRPr="00651450" w14:paraId="2304CFD7" w14:textId="77777777" w:rsidTr="009F498B">
        <w:trPr>
          <w:trHeight w:val="813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0E58D41" w14:textId="47B10ACF" w:rsidR="009C0B89" w:rsidRPr="00651450" w:rsidRDefault="009C0B89" w:rsidP="004B2BD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68BF71" w14:textId="1ED4EAEE" w:rsidR="009C0B89" w:rsidRPr="00651450" w:rsidRDefault="009C0B89" w:rsidP="004B2BD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>Ukupan iznos dodijeljene potpore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A85412C" w14:textId="74F23CC3" w:rsidR="009C0B89" w:rsidRPr="00651450" w:rsidRDefault="004B2BDC" w:rsidP="004B2BD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 xml:space="preserve">Ukupno isplaćena sredstva </w:t>
            </w:r>
            <w:r w:rsidR="009C0B89"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 xml:space="preserve">na dan </w:t>
            </w:r>
            <w:r w:rsidR="008C4A4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>29</w:t>
            </w:r>
            <w:r w:rsidR="009C0B89"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>.10.202</w:t>
            </w:r>
            <w:r w:rsidR="008C4A4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>5</w:t>
            </w:r>
            <w:r w:rsidR="009C0B89"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521F6C6" w14:textId="77777777" w:rsidR="009C0B89" w:rsidRPr="00651450" w:rsidRDefault="009C0B89" w:rsidP="004B2BD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>% uspješnosti provedbe</w:t>
            </w:r>
          </w:p>
        </w:tc>
      </w:tr>
      <w:tr w:rsidR="008C4A40" w:rsidRPr="00651450" w14:paraId="7ACBF944" w14:textId="77777777" w:rsidTr="004B0B2C">
        <w:trPr>
          <w:trHeight w:val="414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A630A4" w14:textId="64C0791F" w:rsidR="008C4A40" w:rsidRPr="00651450" w:rsidRDefault="008C4A40" w:rsidP="008C4A4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51450">
              <w:rPr>
                <w:rFonts w:asciiTheme="majorHAnsi" w:hAnsiTheme="majorHAnsi" w:cstheme="majorHAnsi"/>
                <w:color w:val="000000"/>
              </w:rPr>
              <w:t>Podmjera</w:t>
            </w:r>
            <w:proofErr w:type="spellEnd"/>
            <w:r w:rsidRPr="00651450">
              <w:rPr>
                <w:rFonts w:asciiTheme="majorHAnsi" w:hAnsiTheme="majorHAnsi" w:cstheme="majorHAnsi"/>
                <w:color w:val="000000"/>
              </w:rPr>
              <w:t xml:space="preserve"> 19.1.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4CCA3" w14:textId="7C88B103" w:rsidR="008C4A40" w:rsidRPr="00651450" w:rsidRDefault="008C4A40" w:rsidP="008C4A4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95D78">
              <w:t>17.886,14 €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B4083" w14:textId="2EAB1364" w:rsidR="008C4A40" w:rsidRPr="00651450" w:rsidRDefault="008C4A40" w:rsidP="008C4A4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95D78">
              <w:t xml:space="preserve"> 17.886,14 €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6BD61" w14:textId="33475810" w:rsidR="008C4A40" w:rsidRPr="00651450" w:rsidRDefault="008C4A40" w:rsidP="008C4A4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95D78">
              <w:t>100,00%</w:t>
            </w:r>
          </w:p>
        </w:tc>
      </w:tr>
      <w:tr w:rsidR="008C4A40" w:rsidRPr="00651450" w14:paraId="2408F419" w14:textId="77777777" w:rsidTr="004B0B2C">
        <w:trPr>
          <w:trHeight w:val="42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26AD65" w14:textId="687F7D78" w:rsidR="008C4A40" w:rsidRPr="00651450" w:rsidRDefault="008C4A40" w:rsidP="008C4A4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51450">
              <w:rPr>
                <w:rFonts w:asciiTheme="majorHAnsi" w:hAnsiTheme="majorHAnsi" w:cstheme="majorHAnsi"/>
                <w:color w:val="000000"/>
              </w:rPr>
              <w:t>Podmjera</w:t>
            </w:r>
            <w:proofErr w:type="spellEnd"/>
            <w:r w:rsidRPr="00651450">
              <w:rPr>
                <w:rFonts w:asciiTheme="majorHAnsi" w:hAnsiTheme="majorHAnsi" w:cstheme="majorHAnsi"/>
                <w:color w:val="000000"/>
              </w:rPr>
              <w:t xml:space="preserve"> 19.2.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6FA19" w14:textId="48ACE2DC" w:rsidR="008C4A40" w:rsidRPr="00651450" w:rsidRDefault="008C4A40" w:rsidP="008C4A4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95D78">
              <w:t>1.674.371,53 €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5550B" w14:textId="17BA3188" w:rsidR="008C4A40" w:rsidRPr="00651450" w:rsidRDefault="008C4A40" w:rsidP="008C4A4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95D78">
              <w:t xml:space="preserve"> 1.623.243,22 €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C572B" w14:textId="0942C1D7" w:rsidR="008C4A40" w:rsidRPr="00651450" w:rsidRDefault="008C4A40" w:rsidP="008C4A4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95D78">
              <w:t>96,95%</w:t>
            </w:r>
          </w:p>
        </w:tc>
      </w:tr>
      <w:tr w:rsidR="008C4A40" w:rsidRPr="00651450" w14:paraId="55BF8938" w14:textId="77777777" w:rsidTr="004B0B2C">
        <w:trPr>
          <w:trHeight w:val="412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6893701" w14:textId="7C8C7DBA" w:rsidR="008C4A40" w:rsidRPr="00651450" w:rsidRDefault="008C4A40" w:rsidP="008C4A4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51450">
              <w:rPr>
                <w:rFonts w:asciiTheme="majorHAnsi" w:hAnsiTheme="majorHAnsi" w:cstheme="majorHAnsi"/>
                <w:color w:val="000000"/>
              </w:rPr>
              <w:t>Podmjera</w:t>
            </w:r>
            <w:proofErr w:type="spellEnd"/>
            <w:r w:rsidRPr="00651450">
              <w:rPr>
                <w:rFonts w:asciiTheme="majorHAnsi" w:hAnsiTheme="majorHAnsi" w:cstheme="majorHAnsi"/>
                <w:color w:val="000000"/>
              </w:rPr>
              <w:t xml:space="preserve"> 19.3.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FE59F" w14:textId="341A3855" w:rsidR="008C4A40" w:rsidRPr="00651450" w:rsidRDefault="008C4A40" w:rsidP="008C4A4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95D78">
              <w:t>47.257,30 €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8F0CF" w14:textId="4C8BD02B" w:rsidR="008C4A40" w:rsidRPr="00651450" w:rsidRDefault="008C4A40" w:rsidP="008C4A4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95D78">
              <w:t xml:space="preserve"> 39.184,45 €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B0C30" w14:textId="52E37528" w:rsidR="008C4A40" w:rsidRPr="00651450" w:rsidRDefault="008C4A40" w:rsidP="008C4A4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95D78">
              <w:t>82,92%</w:t>
            </w:r>
          </w:p>
        </w:tc>
      </w:tr>
      <w:tr w:rsidR="008C4A40" w:rsidRPr="00651450" w14:paraId="259D1A5B" w14:textId="77777777" w:rsidTr="004B0B2C">
        <w:trPr>
          <w:trHeight w:val="418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0005E2" w14:textId="4F4D2A55" w:rsidR="008C4A40" w:rsidRPr="00651450" w:rsidRDefault="008C4A40" w:rsidP="008C4A4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51450">
              <w:rPr>
                <w:rFonts w:asciiTheme="majorHAnsi" w:hAnsiTheme="majorHAnsi" w:cstheme="majorHAnsi"/>
                <w:color w:val="000000"/>
              </w:rPr>
              <w:t>Podmjera</w:t>
            </w:r>
            <w:proofErr w:type="spellEnd"/>
            <w:r w:rsidRPr="00651450">
              <w:rPr>
                <w:rFonts w:asciiTheme="majorHAnsi" w:hAnsiTheme="majorHAnsi" w:cstheme="majorHAnsi"/>
                <w:color w:val="000000"/>
              </w:rPr>
              <w:t xml:space="preserve"> 19.4.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E6F18" w14:textId="0A689E46" w:rsidR="008C4A40" w:rsidRPr="00651450" w:rsidRDefault="008C4A40" w:rsidP="008C4A4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95D78">
              <w:t>379.679,22 €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8A3D7" w14:textId="2DFC1A2A" w:rsidR="008C4A40" w:rsidRPr="00651450" w:rsidRDefault="008C4A40" w:rsidP="008C4A4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95D78">
              <w:t xml:space="preserve"> 379.679,22 €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24AD2" w14:textId="63BA6466" w:rsidR="008C4A40" w:rsidRPr="00651450" w:rsidRDefault="008C4A40" w:rsidP="008C4A4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95D78">
              <w:t>100,00%</w:t>
            </w:r>
          </w:p>
        </w:tc>
      </w:tr>
      <w:tr w:rsidR="008C4A40" w:rsidRPr="00651450" w14:paraId="28318BD1" w14:textId="77777777" w:rsidTr="004B0B2C">
        <w:trPr>
          <w:trHeight w:val="378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08D427" w14:textId="51867A0F" w:rsidR="008C4A40" w:rsidRPr="00651450" w:rsidRDefault="008C4A40" w:rsidP="008C4A4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  <w:r w:rsidRPr="00651450"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  <w:t>4. UKUPNO ZA 19.2. / 19.3. / 19.4.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F8D65" w14:textId="26D97E47" w:rsidR="008C4A40" w:rsidRPr="008C4A40" w:rsidRDefault="008C4A40" w:rsidP="008C4A4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C4A40">
              <w:rPr>
                <w:b/>
                <w:bCs/>
              </w:rPr>
              <w:t>2.119.194,19 €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0427D" w14:textId="0319C5A2" w:rsidR="008C4A40" w:rsidRPr="008C4A40" w:rsidRDefault="008C4A40" w:rsidP="008C4A4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C4A40">
              <w:rPr>
                <w:b/>
                <w:bCs/>
              </w:rPr>
              <w:t>2.059.993,03 €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3BDB4" w14:textId="6657F6DA" w:rsidR="008C4A40" w:rsidRPr="008C4A40" w:rsidRDefault="008C4A40" w:rsidP="008C4A4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C4A40">
              <w:rPr>
                <w:b/>
                <w:bCs/>
              </w:rPr>
              <w:t>97,21%</w:t>
            </w:r>
          </w:p>
        </w:tc>
      </w:tr>
    </w:tbl>
    <w:p w14:paraId="51B9E7C1" w14:textId="77777777" w:rsidR="008503F8" w:rsidRPr="00E47562" w:rsidRDefault="008503F8" w:rsidP="008503F8">
      <w:pPr>
        <w:rPr>
          <w:rFonts w:asciiTheme="majorHAnsi" w:hAnsiTheme="majorHAnsi" w:cstheme="majorHAnsi"/>
        </w:rPr>
      </w:pPr>
    </w:p>
    <w:p w14:paraId="63FCC9E7" w14:textId="000B5E7A" w:rsidR="008503F8" w:rsidRPr="00E47562" w:rsidRDefault="008503F8" w:rsidP="008503F8">
      <w:pPr>
        <w:pStyle w:val="Bezproreda"/>
        <w:spacing w:line="360" w:lineRule="auto"/>
        <w:ind w:left="720"/>
        <w:jc w:val="center"/>
        <w:rPr>
          <w:rFonts w:asciiTheme="majorHAnsi" w:hAnsiTheme="majorHAnsi" w:cstheme="majorHAnsi"/>
        </w:rPr>
      </w:pPr>
      <w:r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 xml:space="preserve">Izvor: Stručna služba LAG-a SAVA, </w:t>
      </w:r>
      <w:r w:rsidR="00240436">
        <w:rPr>
          <w:rFonts w:ascii="Calibri Light" w:hAnsi="Calibri Light" w:cs="Calibri Light"/>
          <w:i/>
          <w:iCs/>
          <w:color w:val="233F60"/>
          <w:sz w:val="20"/>
          <w:szCs w:val="20"/>
        </w:rPr>
        <w:t>studeni 2025</w:t>
      </w:r>
      <w:r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>.</w:t>
      </w:r>
    </w:p>
    <w:p w14:paraId="1A8860B4" w14:textId="173F8816" w:rsidR="009C0B89" w:rsidRPr="00DC52CE" w:rsidRDefault="008503F8" w:rsidP="008C4A40">
      <w:pPr>
        <w:pStyle w:val="Naslov4"/>
        <w:jc w:val="center"/>
      </w:pPr>
      <w:r w:rsidRPr="00DC52CE">
        <w:t xml:space="preserve">Graf 1 : Odnos dodijeljenih i isplaćenih sredstava na dan </w:t>
      </w:r>
      <w:r w:rsidR="008C4A40">
        <w:t>29</w:t>
      </w:r>
      <w:r w:rsidRPr="00DC52CE">
        <w:t>.10.202</w:t>
      </w:r>
      <w:r w:rsidR="008C4A40">
        <w:t>5</w:t>
      </w:r>
      <w:r w:rsidR="008C4A40">
        <w:rPr>
          <w:noProof/>
        </w:rPr>
        <w:drawing>
          <wp:inline distT="0" distB="0" distL="0" distR="0" wp14:anchorId="7B54612C" wp14:editId="5F7881B5">
            <wp:extent cx="4572000" cy="2743200"/>
            <wp:effectExtent l="0" t="0" r="0" b="0"/>
            <wp:docPr id="1272146217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537DD480-77FD-62F8-EED0-5E18DAFFC3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8E06D75" w14:textId="495D5520" w:rsidR="00562E24" w:rsidRPr="00651450" w:rsidRDefault="00562E24">
      <w:pPr>
        <w:rPr>
          <w:rFonts w:asciiTheme="majorHAnsi" w:hAnsiTheme="majorHAnsi" w:cstheme="majorHAnsi"/>
        </w:rPr>
      </w:pPr>
    </w:p>
    <w:p w14:paraId="66EF579B" w14:textId="1E6E9BDF" w:rsidR="008503F8" w:rsidRPr="00E47562" w:rsidRDefault="008503F8" w:rsidP="003D1855">
      <w:pPr>
        <w:tabs>
          <w:tab w:val="left" w:pos="5502"/>
        </w:tabs>
        <w:jc w:val="center"/>
        <w:rPr>
          <w:rFonts w:asciiTheme="majorHAnsi" w:hAnsiTheme="majorHAnsi" w:cstheme="majorHAnsi"/>
        </w:rPr>
      </w:pPr>
      <w:r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 xml:space="preserve">Izvor: Stručna služba LAG-a SAVA, </w:t>
      </w:r>
      <w:r w:rsidR="00240436">
        <w:rPr>
          <w:rFonts w:ascii="Calibri Light" w:hAnsi="Calibri Light" w:cs="Calibri Light"/>
          <w:i/>
          <w:iCs/>
          <w:color w:val="233F60"/>
          <w:sz w:val="20"/>
          <w:szCs w:val="20"/>
        </w:rPr>
        <w:t>studeni 2025</w:t>
      </w:r>
      <w:r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>.</w:t>
      </w:r>
    </w:p>
    <w:p w14:paraId="7AC2068E" w14:textId="77777777" w:rsidR="007C0B46" w:rsidRDefault="007C0B46" w:rsidP="008503F8">
      <w:pPr>
        <w:pStyle w:val="Naslov3"/>
        <w:sectPr w:rsidR="007C0B46" w:rsidSect="005E141A">
          <w:pgSz w:w="11906" w:h="16838" w:code="9"/>
          <w:pgMar w:top="1417" w:right="1417" w:bottom="1417" w:left="1417" w:header="1134" w:footer="1134" w:gutter="0"/>
          <w:cols w:space="708"/>
          <w:titlePg/>
          <w:docGrid w:linePitch="360"/>
        </w:sectPr>
      </w:pPr>
    </w:p>
    <w:p w14:paraId="06C17628" w14:textId="77777777" w:rsidR="007C0B46" w:rsidRPr="007C0B46" w:rsidRDefault="007C0B46" w:rsidP="007C0B46"/>
    <w:p w14:paraId="58B1FB49" w14:textId="293DE24D" w:rsidR="00562E24" w:rsidRPr="00651450" w:rsidRDefault="009116F9" w:rsidP="00DC52CE">
      <w:pPr>
        <w:pStyle w:val="Naslov2"/>
      </w:pPr>
      <w:bookmarkStart w:id="27" w:name="_Toc212823180"/>
      <w:r w:rsidRPr="00651450">
        <w:t>Odbijeni i odustali projekti</w:t>
      </w:r>
      <w:bookmarkEnd w:id="27"/>
      <w:r w:rsidRPr="00651450">
        <w:t xml:space="preserve"> </w:t>
      </w:r>
    </w:p>
    <w:p w14:paraId="3291F0AE" w14:textId="007A6B62" w:rsidR="008C4A40" w:rsidRDefault="00A76F9E" w:rsidP="008503F8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 izvješću Agencije </w:t>
      </w:r>
      <w:r w:rsidR="002D1D7C">
        <w:rPr>
          <w:rFonts w:asciiTheme="majorHAnsi" w:hAnsiTheme="majorHAnsi" w:cstheme="majorHAnsi"/>
        </w:rPr>
        <w:t>dostavljenom</w:t>
      </w:r>
      <w:r>
        <w:rPr>
          <w:rFonts w:asciiTheme="majorHAnsi" w:hAnsiTheme="majorHAnsi" w:cstheme="majorHAnsi"/>
        </w:rPr>
        <w:t xml:space="preserve"> 29.10.2025. vidljivo je kako je jedan projekt odustao, dok su dva projekta odbijena te je od njih zatražen povrat sredstava.</w:t>
      </w:r>
    </w:p>
    <w:p w14:paraId="04E87735" w14:textId="4C358557" w:rsidR="00A76F9E" w:rsidRPr="00651450" w:rsidRDefault="00A76F9E" w:rsidP="008503F8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Ukupan iznos sredstava za ta tri projekta iznosi </w:t>
      </w:r>
      <w:r w:rsidR="002D1D7C">
        <w:rPr>
          <w:rFonts w:asciiTheme="majorHAnsi" w:hAnsiTheme="majorHAnsi" w:cstheme="majorHAnsi"/>
        </w:rPr>
        <w:t>37.636,36 EUR-a.</w:t>
      </w:r>
    </w:p>
    <w:p w14:paraId="5A064B82" w14:textId="77777777" w:rsidR="009116F9" w:rsidRPr="00651450" w:rsidRDefault="009116F9">
      <w:pPr>
        <w:rPr>
          <w:rFonts w:asciiTheme="majorHAnsi" w:hAnsiTheme="majorHAnsi" w:cstheme="majorHAnsi"/>
        </w:rPr>
      </w:pPr>
    </w:p>
    <w:p w14:paraId="0C239D32" w14:textId="47D188A0" w:rsidR="009116F9" w:rsidRDefault="003D1855" w:rsidP="00DC52CE">
      <w:pPr>
        <w:pStyle w:val="Naslov3"/>
      </w:pPr>
      <w:bookmarkStart w:id="28" w:name="_Toc212823181"/>
      <w:r>
        <w:t xml:space="preserve">Tablica 8: </w:t>
      </w:r>
      <w:r w:rsidR="009116F9" w:rsidRPr="00651450">
        <w:t>Tip ulaganja</w:t>
      </w:r>
      <w:r w:rsidR="00986CE4" w:rsidRPr="00651450">
        <w:t>-broj projekata</w:t>
      </w:r>
      <w:bookmarkEnd w:id="28"/>
    </w:p>
    <w:p w14:paraId="65688308" w14:textId="77777777" w:rsidR="000315E7" w:rsidRPr="000315E7" w:rsidRDefault="000315E7" w:rsidP="000315E7"/>
    <w:tbl>
      <w:tblPr>
        <w:tblStyle w:val="Reetkatablice"/>
        <w:tblW w:w="6183" w:type="dxa"/>
        <w:jc w:val="center"/>
        <w:tblLook w:val="04A0" w:firstRow="1" w:lastRow="0" w:firstColumn="1" w:lastColumn="0" w:noHBand="0" w:noVBand="1"/>
      </w:tblPr>
      <w:tblGrid>
        <w:gridCol w:w="1003"/>
        <w:gridCol w:w="1066"/>
        <w:gridCol w:w="2095"/>
        <w:gridCol w:w="913"/>
        <w:gridCol w:w="1106"/>
      </w:tblGrid>
      <w:tr w:rsidR="003C632C" w:rsidRPr="00651450" w14:paraId="061B3B0D" w14:textId="77474820" w:rsidTr="000315E7">
        <w:trPr>
          <w:jc w:val="center"/>
        </w:trPr>
        <w:tc>
          <w:tcPr>
            <w:tcW w:w="1003" w:type="dxa"/>
            <w:shd w:val="clear" w:color="auto" w:fill="E2EFD9" w:themeFill="accent6" w:themeFillTint="33"/>
          </w:tcPr>
          <w:p w14:paraId="38FD1606" w14:textId="77777777" w:rsidR="003C632C" w:rsidRPr="00651450" w:rsidRDefault="003C632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66" w:type="dxa"/>
            <w:shd w:val="clear" w:color="auto" w:fill="E2EFD9" w:themeFill="accent6" w:themeFillTint="33"/>
          </w:tcPr>
          <w:p w14:paraId="6042C669" w14:textId="0DD5609A" w:rsidR="003C632C" w:rsidRPr="00651450" w:rsidRDefault="003C632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Građenje</w:t>
            </w:r>
          </w:p>
        </w:tc>
        <w:tc>
          <w:tcPr>
            <w:tcW w:w="2095" w:type="dxa"/>
            <w:shd w:val="clear" w:color="auto" w:fill="E2EFD9" w:themeFill="accent6" w:themeFillTint="33"/>
          </w:tcPr>
          <w:p w14:paraId="7CC28900" w14:textId="693046B6" w:rsidR="003C632C" w:rsidRPr="00651450" w:rsidRDefault="003C632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Mehanizacija/strojevi i oprema</w:t>
            </w:r>
          </w:p>
        </w:tc>
        <w:tc>
          <w:tcPr>
            <w:tcW w:w="913" w:type="dxa"/>
            <w:shd w:val="clear" w:color="auto" w:fill="E2EFD9" w:themeFill="accent6" w:themeFillTint="33"/>
          </w:tcPr>
          <w:p w14:paraId="2A5BA607" w14:textId="79F51D0A" w:rsidR="003C632C" w:rsidRPr="00651450" w:rsidRDefault="003C632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Trajni nasad</w:t>
            </w:r>
          </w:p>
        </w:tc>
        <w:tc>
          <w:tcPr>
            <w:tcW w:w="1106" w:type="dxa"/>
            <w:shd w:val="clear" w:color="auto" w:fill="E2EFD9" w:themeFill="accent6" w:themeFillTint="33"/>
          </w:tcPr>
          <w:p w14:paraId="4E0EC38E" w14:textId="72F85555" w:rsidR="003C632C" w:rsidRPr="00651450" w:rsidRDefault="003C632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Kupnja Zemljišta</w:t>
            </w:r>
          </w:p>
        </w:tc>
      </w:tr>
      <w:tr w:rsidR="003C632C" w:rsidRPr="00651450" w14:paraId="6E34AF81" w14:textId="14A2953B" w:rsidTr="000315E7">
        <w:trPr>
          <w:jc w:val="center"/>
        </w:trPr>
        <w:tc>
          <w:tcPr>
            <w:tcW w:w="1003" w:type="dxa"/>
            <w:shd w:val="clear" w:color="auto" w:fill="E2EFD9" w:themeFill="accent6" w:themeFillTint="33"/>
          </w:tcPr>
          <w:p w14:paraId="5DB5083C" w14:textId="6598BB22" w:rsidR="003C632C" w:rsidRPr="00651450" w:rsidRDefault="003C632C" w:rsidP="009116F9">
            <w:pPr>
              <w:tabs>
                <w:tab w:val="left" w:pos="1165"/>
              </w:tabs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TO 1.1.1</w:t>
            </w:r>
            <w:r w:rsidRPr="00651450">
              <w:rPr>
                <w:rStyle w:val="Referencafusnote"/>
                <w:rFonts w:asciiTheme="majorHAnsi" w:hAnsiTheme="majorHAnsi" w:cstheme="majorHAnsi"/>
              </w:rPr>
              <w:footnoteReference w:id="8"/>
            </w:r>
          </w:p>
        </w:tc>
        <w:tc>
          <w:tcPr>
            <w:tcW w:w="1066" w:type="dxa"/>
          </w:tcPr>
          <w:p w14:paraId="0509CD94" w14:textId="04BC4BB1" w:rsidR="003C632C" w:rsidRPr="00651450" w:rsidRDefault="000315E7" w:rsidP="004B2BDC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095" w:type="dxa"/>
          </w:tcPr>
          <w:p w14:paraId="642049D5" w14:textId="788F790F" w:rsidR="003C632C" w:rsidRPr="00651450" w:rsidRDefault="000315E7" w:rsidP="004B2BDC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47</w:t>
            </w:r>
          </w:p>
        </w:tc>
        <w:tc>
          <w:tcPr>
            <w:tcW w:w="913" w:type="dxa"/>
          </w:tcPr>
          <w:p w14:paraId="449307FD" w14:textId="33243AB9" w:rsidR="003C632C" w:rsidRPr="00651450" w:rsidRDefault="000315E7" w:rsidP="004B2BDC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06" w:type="dxa"/>
          </w:tcPr>
          <w:p w14:paraId="45BD4A85" w14:textId="58D7C305" w:rsidR="003C632C" w:rsidRPr="00651450" w:rsidRDefault="001C434F" w:rsidP="004B2BDC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3C632C" w:rsidRPr="00651450" w14:paraId="29CE621B" w14:textId="0B9CB604" w:rsidTr="000315E7">
        <w:trPr>
          <w:jc w:val="center"/>
        </w:trPr>
        <w:tc>
          <w:tcPr>
            <w:tcW w:w="1003" w:type="dxa"/>
            <w:shd w:val="clear" w:color="auto" w:fill="E2EFD9" w:themeFill="accent6" w:themeFillTint="33"/>
          </w:tcPr>
          <w:p w14:paraId="763DCBE4" w14:textId="060E93C3" w:rsidR="003C632C" w:rsidRPr="00651450" w:rsidRDefault="003C632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TO 1.1.2.</w:t>
            </w:r>
            <w:r w:rsidRPr="00651450">
              <w:rPr>
                <w:rStyle w:val="Referencafusnote"/>
                <w:rFonts w:asciiTheme="majorHAnsi" w:hAnsiTheme="majorHAnsi" w:cstheme="majorHAnsi"/>
              </w:rPr>
              <w:footnoteReference w:id="9"/>
            </w:r>
          </w:p>
        </w:tc>
        <w:tc>
          <w:tcPr>
            <w:tcW w:w="1066" w:type="dxa"/>
          </w:tcPr>
          <w:p w14:paraId="3BC3D68D" w14:textId="0FED91DE" w:rsidR="003C632C" w:rsidRPr="00651450" w:rsidRDefault="000315E7" w:rsidP="004B2BDC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095" w:type="dxa"/>
          </w:tcPr>
          <w:p w14:paraId="630AA847" w14:textId="2801B024" w:rsidR="003C632C" w:rsidRPr="00651450" w:rsidRDefault="000315E7" w:rsidP="004B2BDC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913" w:type="dxa"/>
          </w:tcPr>
          <w:p w14:paraId="238F3D42" w14:textId="63CF1B49" w:rsidR="003C632C" w:rsidRPr="00651450" w:rsidRDefault="000315E7" w:rsidP="004B2BDC">
            <w:pPr>
              <w:tabs>
                <w:tab w:val="left" w:pos="689"/>
              </w:tabs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06" w:type="dxa"/>
          </w:tcPr>
          <w:p w14:paraId="2AE68974" w14:textId="16C1F981" w:rsidR="003C632C" w:rsidRPr="00651450" w:rsidRDefault="003C632C" w:rsidP="004B2BD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3C632C" w:rsidRPr="00651450" w14:paraId="421472F7" w14:textId="06117778" w:rsidTr="000315E7">
        <w:trPr>
          <w:jc w:val="center"/>
        </w:trPr>
        <w:tc>
          <w:tcPr>
            <w:tcW w:w="1003" w:type="dxa"/>
            <w:shd w:val="clear" w:color="auto" w:fill="E2EFD9" w:themeFill="accent6" w:themeFillTint="33"/>
          </w:tcPr>
          <w:p w14:paraId="6D967DC6" w14:textId="66A9721E" w:rsidR="003C632C" w:rsidRPr="00651450" w:rsidRDefault="003C632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TO 1.2.1.</w:t>
            </w:r>
            <w:r w:rsidRPr="00651450">
              <w:rPr>
                <w:rStyle w:val="Referencafusnote"/>
                <w:rFonts w:asciiTheme="majorHAnsi" w:hAnsiTheme="majorHAnsi" w:cstheme="majorHAnsi"/>
              </w:rPr>
              <w:footnoteReference w:id="10"/>
            </w:r>
          </w:p>
        </w:tc>
        <w:tc>
          <w:tcPr>
            <w:tcW w:w="1066" w:type="dxa"/>
          </w:tcPr>
          <w:p w14:paraId="4163F836" w14:textId="54A25788" w:rsidR="003C632C" w:rsidRPr="00651450" w:rsidRDefault="003C632C" w:rsidP="004B2BDC">
            <w:pPr>
              <w:tabs>
                <w:tab w:val="left" w:pos="614"/>
              </w:tabs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95" w:type="dxa"/>
          </w:tcPr>
          <w:p w14:paraId="3335FD05" w14:textId="7577A910" w:rsidR="003C632C" w:rsidRPr="00651450" w:rsidRDefault="000315E7" w:rsidP="004B2BDC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13" w:type="dxa"/>
          </w:tcPr>
          <w:p w14:paraId="7E75EEB1" w14:textId="5A6020FD" w:rsidR="003C632C" w:rsidRPr="00651450" w:rsidRDefault="003C632C" w:rsidP="004B2BD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106" w:type="dxa"/>
          </w:tcPr>
          <w:p w14:paraId="393874A5" w14:textId="2260105A" w:rsidR="003C632C" w:rsidRPr="00651450" w:rsidRDefault="003C632C" w:rsidP="004B2BD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3C632C" w:rsidRPr="00651450" w14:paraId="02145599" w14:textId="73FFEEDF" w:rsidTr="000315E7">
        <w:trPr>
          <w:jc w:val="center"/>
        </w:trPr>
        <w:tc>
          <w:tcPr>
            <w:tcW w:w="1003" w:type="dxa"/>
            <w:shd w:val="clear" w:color="auto" w:fill="E2EFD9" w:themeFill="accent6" w:themeFillTint="33"/>
          </w:tcPr>
          <w:p w14:paraId="258B3FDB" w14:textId="5A9228D9" w:rsidR="003C632C" w:rsidRPr="00651450" w:rsidRDefault="003C632C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TO 2.1.1.</w:t>
            </w:r>
            <w:r w:rsidRPr="00651450">
              <w:rPr>
                <w:rStyle w:val="Referencafusnote"/>
                <w:rFonts w:asciiTheme="majorHAnsi" w:hAnsiTheme="majorHAnsi" w:cstheme="majorHAnsi"/>
              </w:rPr>
              <w:footnoteReference w:id="11"/>
            </w:r>
          </w:p>
        </w:tc>
        <w:tc>
          <w:tcPr>
            <w:tcW w:w="1066" w:type="dxa"/>
          </w:tcPr>
          <w:p w14:paraId="6A1D6B07" w14:textId="60B07F26" w:rsidR="003C632C" w:rsidRPr="00651450" w:rsidRDefault="000315E7" w:rsidP="004B2BDC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2095" w:type="dxa"/>
          </w:tcPr>
          <w:p w14:paraId="059FEDC6" w14:textId="6E0AC498" w:rsidR="003C632C" w:rsidRPr="00651450" w:rsidRDefault="000315E7" w:rsidP="004B2BDC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913" w:type="dxa"/>
          </w:tcPr>
          <w:p w14:paraId="4496880F" w14:textId="60F60B39" w:rsidR="003C632C" w:rsidRPr="00651450" w:rsidRDefault="003C632C" w:rsidP="004B2BD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106" w:type="dxa"/>
          </w:tcPr>
          <w:p w14:paraId="63716C91" w14:textId="3BB67011" w:rsidR="003C632C" w:rsidRPr="00651450" w:rsidRDefault="003C632C" w:rsidP="004B2BD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3C632C" w:rsidRPr="00651450" w14:paraId="6FF5B2A6" w14:textId="788CE083" w:rsidTr="000315E7">
        <w:trPr>
          <w:jc w:val="center"/>
        </w:trPr>
        <w:tc>
          <w:tcPr>
            <w:tcW w:w="1003" w:type="dxa"/>
            <w:shd w:val="clear" w:color="auto" w:fill="E2EFD9" w:themeFill="accent6" w:themeFillTint="33"/>
          </w:tcPr>
          <w:p w14:paraId="32CEC309" w14:textId="4132A6E2" w:rsidR="003C632C" w:rsidRPr="00651450" w:rsidRDefault="003C632C" w:rsidP="0014717A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UKUPNO</w:t>
            </w:r>
          </w:p>
        </w:tc>
        <w:tc>
          <w:tcPr>
            <w:tcW w:w="1066" w:type="dxa"/>
            <w:vAlign w:val="bottom"/>
          </w:tcPr>
          <w:p w14:paraId="411D0158" w14:textId="5BD9AF76" w:rsidR="003C632C" w:rsidRPr="009F498B" w:rsidRDefault="000315E7" w:rsidP="0014717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15</w:t>
            </w:r>
          </w:p>
        </w:tc>
        <w:tc>
          <w:tcPr>
            <w:tcW w:w="2095" w:type="dxa"/>
            <w:vAlign w:val="bottom"/>
          </w:tcPr>
          <w:p w14:paraId="10C954FA" w14:textId="29F3DEBE" w:rsidR="003C632C" w:rsidRPr="009F498B" w:rsidRDefault="00FC305F" w:rsidP="0014717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66</w:t>
            </w:r>
          </w:p>
        </w:tc>
        <w:tc>
          <w:tcPr>
            <w:tcW w:w="913" w:type="dxa"/>
            <w:vAlign w:val="bottom"/>
          </w:tcPr>
          <w:p w14:paraId="16CDC3A7" w14:textId="0BB4F5B8" w:rsidR="003C632C" w:rsidRPr="009F498B" w:rsidRDefault="00FC305F" w:rsidP="0014717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9</w:t>
            </w:r>
          </w:p>
        </w:tc>
        <w:tc>
          <w:tcPr>
            <w:tcW w:w="1106" w:type="dxa"/>
            <w:vAlign w:val="bottom"/>
          </w:tcPr>
          <w:p w14:paraId="6ED7A66C" w14:textId="38434D64" w:rsidR="003C632C" w:rsidRPr="009F498B" w:rsidRDefault="00FC305F" w:rsidP="0014717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</w:tr>
    </w:tbl>
    <w:p w14:paraId="7985DEC8" w14:textId="1F3F0212" w:rsidR="003D1855" w:rsidRPr="00E47562" w:rsidRDefault="003D1855" w:rsidP="003D1855">
      <w:pPr>
        <w:pStyle w:val="Bezproreda"/>
        <w:spacing w:line="360" w:lineRule="auto"/>
        <w:ind w:left="720"/>
        <w:jc w:val="center"/>
        <w:rPr>
          <w:rFonts w:asciiTheme="majorHAnsi" w:hAnsiTheme="majorHAnsi" w:cstheme="majorHAnsi"/>
        </w:rPr>
      </w:pPr>
      <w:r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 xml:space="preserve">Izvor: Stručna služba LAG-a SAVA, </w:t>
      </w:r>
      <w:r w:rsidR="00240436">
        <w:rPr>
          <w:rFonts w:ascii="Calibri Light" w:hAnsi="Calibri Light" w:cs="Calibri Light"/>
          <w:i/>
          <w:iCs/>
          <w:color w:val="233F60"/>
          <w:sz w:val="20"/>
          <w:szCs w:val="20"/>
        </w:rPr>
        <w:t>studeni 2025</w:t>
      </w:r>
      <w:r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>.</w:t>
      </w:r>
    </w:p>
    <w:p w14:paraId="7419DD76" w14:textId="77777777" w:rsidR="009116F9" w:rsidRPr="00651450" w:rsidRDefault="009116F9">
      <w:pPr>
        <w:rPr>
          <w:rFonts w:asciiTheme="majorHAnsi" w:hAnsiTheme="majorHAnsi" w:cstheme="majorHAnsi"/>
        </w:rPr>
      </w:pPr>
    </w:p>
    <w:p w14:paraId="0A946AD6" w14:textId="77777777" w:rsidR="003D1855" w:rsidRDefault="00FC305F" w:rsidP="00FC305F">
      <w:pPr>
        <w:pStyle w:val="Naslov3"/>
      </w:pPr>
      <w:r w:rsidRPr="00FC305F">
        <w:t>Tablica 9: Sektor ulaganja- broj projekata</w:t>
      </w:r>
    </w:p>
    <w:tbl>
      <w:tblPr>
        <w:tblStyle w:val="Reetkatablice"/>
        <w:tblW w:w="10751" w:type="dxa"/>
        <w:jc w:val="center"/>
        <w:tblLook w:val="04A0" w:firstRow="1" w:lastRow="0" w:firstColumn="1" w:lastColumn="0" w:noHBand="0" w:noVBand="1"/>
      </w:tblPr>
      <w:tblGrid>
        <w:gridCol w:w="1000"/>
        <w:gridCol w:w="976"/>
        <w:gridCol w:w="930"/>
        <w:gridCol w:w="1065"/>
        <w:gridCol w:w="1323"/>
        <w:gridCol w:w="962"/>
        <w:gridCol w:w="1050"/>
        <w:gridCol w:w="1052"/>
        <w:gridCol w:w="906"/>
        <w:gridCol w:w="776"/>
        <w:gridCol w:w="711"/>
      </w:tblGrid>
      <w:tr w:rsidR="00DF56C8" w:rsidRPr="00651450" w14:paraId="49D1AF7D" w14:textId="0EE0E7DF" w:rsidTr="00DF56C8">
        <w:trPr>
          <w:jc w:val="center"/>
        </w:trPr>
        <w:tc>
          <w:tcPr>
            <w:tcW w:w="1000" w:type="dxa"/>
            <w:shd w:val="clear" w:color="auto" w:fill="E2EFD9" w:themeFill="accent6" w:themeFillTint="33"/>
          </w:tcPr>
          <w:p w14:paraId="7AD354B4" w14:textId="77777777" w:rsidR="00DF56C8" w:rsidRPr="00651450" w:rsidRDefault="00DF56C8" w:rsidP="00FC305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6" w:type="dxa"/>
            <w:shd w:val="clear" w:color="auto" w:fill="E2EFD9" w:themeFill="accent6" w:themeFillTint="33"/>
            <w:vAlign w:val="bottom"/>
          </w:tcPr>
          <w:p w14:paraId="186569BD" w14:textId="5AAAD425" w:rsidR="00DF56C8" w:rsidRPr="00FC305F" w:rsidRDefault="00DF56C8" w:rsidP="00FC305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C305F">
              <w:rPr>
                <w:rFonts w:ascii="Calibri" w:hAnsi="Calibri" w:cs="Calibri"/>
                <w:color w:val="000000"/>
                <w:sz w:val="18"/>
                <w:szCs w:val="18"/>
              </w:rPr>
              <w:t>Stočarstvo</w:t>
            </w:r>
          </w:p>
        </w:tc>
        <w:tc>
          <w:tcPr>
            <w:tcW w:w="930" w:type="dxa"/>
            <w:shd w:val="clear" w:color="auto" w:fill="E2EFD9" w:themeFill="accent6" w:themeFillTint="33"/>
            <w:vAlign w:val="bottom"/>
          </w:tcPr>
          <w:p w14:paraId="05964451" w14:textId="299EDBD8" w:rsidR="00DF56C8" w:rsidRPr="00FC305F" w:rsidRDefault="00DF56C8" w:rsidP="00FC305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C305F">
              <w:rPr>
                <w:rFonts w:ascii="Calibri" w:hAnsi="Calibri" w:cs="Calibri"/>
                <w:color w:val="000000"/>
                <w:sz w:val="18"/>
                <w:szCs w:val="18"/>
              </w:rPr>
              <w:t>Voćarstvo</w:t>
            </w:r>
          </w:p>
        </w:tc>
        <w:tc>
          <w:tcPr>
            <w:tcW w:w="1065" w:type="dxa"/>
            <w:shd w:val="clear" w:color="auto" w:fill="E2EFD9" w:themeFill="accent6" w:themeFillTint="33"/>
            <w:vAlign w:val="bottom"/>
          </w:tcPr>
          <w:p w14:paraId="70C783EE" w14:textId="07062400" w:rsidR="00DF56C8" w:rsidRPr="00FC305F" w:rsidRDefault="00DF56C8" w:rsidP="00FC305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C305F">
              <w:rPr>
                <w:rFonts w:ascii="Calibri" w:hAnsi="Calibri" w:cs="Calibri"/>
                <w:color w:val="000000"/>
                <w:sz w:val="18"/>
                <w:szCs w:val="18"/>
              </w:rPr>
              <w:t>Povrćarstvo</w:t>
            </w:r>
          </w:p>
        </w:tc>
        <w:tc>
          <w:tcPr>
            <w:tcW w:w="1323" w:type="dxa"/>
            <w:shd w:val="clear" w:color="auto" w:fill="E2EFD9" w:themeFill="accent6" w:themeFillTint="33"/>
            <w:vAlign w:val="bottom"/>
          </w:tcPr>
          <w:p w14:paraId="311D3D9E" w14:textId="3BE20BE7" w:rsidR="00DF56C8" w:rsidRPr="00FC305F" w:rsidRDefault="00DF56C8" w:rsidP="00FC305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C305F">
              <w:rPr>
                <w:rFonts w:ascii="Calibri" w:hAnsi="Calibri" w:cs="Calibri"/>
                <w:color w:val="000000"/>
                <w:sz w:val="18"/>
                <w:szCs w:val="18"/>
              </w:rPr>
              <w:t>Vinogradarstvo</w:t>
            </w:r>
          </w:p>
        </w:tc>
        <w:tc>
          <w:tcPr>
            <w:tcW w:w="962" w:type="dxa"/>
            <w:shd w:val="clear" w:color="auto" w:fill="E2EFD9" w:themeFill="accent6" w:themeFillTint="33"/>
            <w:vAlign w:val="bottom"/>
          </w:tcPr>
          <w:p w14:paraId="1EB10CC2" w14:textId="23863852" w:rsidR="00DF56C8" w:rsidRPr="00FC305F" w:rsidRDefault="00DF56C8" w:rsidP="00FC305F">
            <w:pPr>
              <w:rPr>
                <w:sz w:val="18"/>
                <w:szCs w:val="18"/>
              </w:rPr>
            </w:pPr>
            <w:r w:rsidRPr="00FC305F">
              <w:rPr>
                <w:rFonts w:ascii="Calibri" w:hAnsi="Calibri" w:cs="Calibri"/>
                <w:color w:val="000000"/>
                <w:sz w:val="18"/>
                <w:szCs w:val="18"/>
              </w:rPr>
              <w:t>Pčelarstvo</w:t>
            </w:r>
          </w:p>
        </w:tc>
        <w:tc>
          <w:tcPr>
            <w:tcW w:w="1050" w:type="dxa"/>
            <w:shd w:val="clear" w:color="auto" w:fill="E2EFD9" w:themeFill="accent6" w:themeFillTint="33"/>
            <w:vAlign w:val="bottom"/>
          </w:tcPr>
          <w:p w14:paraId="0943288D" w14:textId="712FECCC" w:rsidR="00DF56C8" w:rsidRPr="00FC305F" w:rsidRDefault="00DF56C8" w:rsidP="00FC305F">
            <w:pPr>
              <w:rPr>
                <w:sz w:val="18"/>
                <w:szCs w:val="18"/>
              </w:rPr>
            </w:pPr>
            <w:r w:rsidRPr="00FC305F">
              <w:rPr>
                <w:rFonts w:ascii="Calibri" w:hAnsi="Calibri" w:cs="Calibri"/>
                <w:color w:val="000000"/>
                <w:sz w:val="18"/>
                <w:szCs w:val="18"/>
              </w:rPr>
              <w:t>Cvjećarstvo</w:t>
            </w:r>
          </w:p>
        </w:tc>
        <w:tc>
          <w:tcPr>
            <w:tcW w:w="1052" w:type="dxa"/>
            <w:shd w:val="clear" w:color="auto" w:fill="E2EFD9" w:themeFill="accent6" w:themeFillTint="33"/>
            <w:vAlign w:val="bottom"/>
          </w:tcPr>
          <w:p w14:paraId="707753EE" w14:textId="437B3B92" w:rsidR="00DF56C8" w:rsidRPr="00FC305F" w:rsidRDefault="00DF56C8" w:rsidP="00FC305F">
            <w:pPr>
              <w:rPr>
                <w:sz w:val="18"/>
                <w:szCs w:val="18"/>
              </w:rPr>
            </w:pPr>
            <w:r w:rsidRPr="00FC305F">
              <w:rPr>
                <w:rFonts w:ascii="Calibri" w:hAnsi="Calibri" w:cs="Calibri"/>
                <w:color w:val="000000"/>
                <w:sz w:val="18"/>
                <w:szCs w:val="18"/>
              </w:rPr>
              <w:t>Ljekovito i aromatično bilje</w:t>
            </w:r>
          </w:p>
        </w:tc>
        <w:tc>
          <w:tcPr>
            <w:tcW w:w="906" w:type="dxa"/>
            <w:shd w:val="clear" w:color="auto" w:fill="E2EFD9" w:themeFill="accent6" w:themeFillTint="33"/>
            <w:vAlign w:val="bottom"/>
          </w:tcPr>
          <w:p w14:paraId="2CDBBFD5" w14:textId="1A28895E" w:rsidR="00DF56C8" w:rsidRPr="00FC305F" w:rsidRDefault="00DF56C8" w:rsidP="00FC305F">
            <w:pPr>
              <w:rPr>
                <w:sz w:val="18"/>
                <w:szCs w:val="18"/>
              </w:rPr>
            </w:pPr>
            <w:r w:rsidRPr="00FC305F">
              <w:rPr>
                <w:rFonts w:ascii="Calibri" w:hAnsi="Calibri" w:cs="Calibri"/>
                <w:color w:val="000000"/>
                <w:sz w:val="18"/>
                <w:szCs w:val="18"/>
              </w:rPr>
              <w:t>Ratarstvo</w:t>
            </w:r>
          </w:p>
        </w:tc>
        <w:tc>
          <w:tcPr>
            <w:tcW w:w="776" w:type="dxa"/>
            <w:shd w:val="clear" w:color="auto" w:fill="E2EFD9" w:themeFill="accent6" w:themeFillTint="33"/>
            <w:vAlign w:val="bottom"/>
          </w:tcPr>
          <w:p w14:paraId="652C02D1" w14:textId="20460CE8" w:rsidR="00DF56C8" w:rsidRPr="00FC305F" w:rsidRDefault="00DF56C8" w:rsidP="00FC305F">
            <w:pPr>
              <w:rPr>
                <w:sz w:val="18"/>
                <w:szCs w:val="18"/>
              </w:rPr>
            </w:pPr>
            <w:r w:rsidRPr="00FC305F">
              <w:rPr>
                <w:rFonts w:ascii="Calibri" w:hAnsi="Calibri" w:cs="Calibri"/>
                <w:color w:val="000000"/>
                <w:sz w:val="18"/>
                <w:szCs w:val="18"/>
              </w:rPr>
              <w:t>Božićna drvca</w:t>
            </w:r>
          </w:p>
        </w:tc>
        <w:tc>
          <w:tcPr>
            <w:tcW w:w="711" w:type="dxa"/>
            <w:shd w:val="clear" w:color="auto" w:fill="E2EFD9" w:themeFill="accent6" w:themeFillTint="33"/>
            <w:vAlign w:val="bottom"/>
          </w:tcPr>
          <w:p w14:paraId="6474FD97" w14:textId="093B27A9" w:rsidR="00DF56C8" w:rsidRPr="00FC305F" w:rsidRDefault="00DF56C8" w:rsidP="00FC305F">
            <w:pPr>
              <w:rPr>
                <w:sz w:val="18"/>
                <w:szCs w:val="18"/>
              </w:rPr>
            </w:pPr>
            <w:r w:rsidRPr="00FC305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Usluge </w:t>
            </w:r>
          </w:p>
        </w:tc>
      </w:tr>
      <w:tr w:rsidR="00DF56C8" w:rsidRPr="00651450" w14:paraId="79ED2070" w14:textId="494E78FC" w:rsidTr="00DF56C8">
        <w:trPr>
          <w:jc w:val="center"/>
        </w:trPr>
        <w:tc>
          <w:tcPr>
            <w:tcW w:w="1000" w:type="dxa"/>
            <w:shd w:val="clear" w:color="auto" w:fill="E2EFD9" w:themeFill="accent6" w:themeFillTint="33"/>
          </w:tcPr>
          <w:p w14:paraId="0C462721" w14:textId="77777777" w:rsidR="00DF56C8" w:rsidRPr="00651450" w:rsidRDefault="00DF56C8" w:rsidP="00B377F3">
            <w:pPr>
              <w:tabs>
                <w:tab w:val="left" w:pos="1165"/>
              </w:tabs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TO 1.1.1</w:t>
            </w:r>
            <w:r w:rsidRPr="00651450">
              <w:rPr>
                <w:rStyle w:val="Referencafusnote"/>
                <w:rFonts w:asciiTheme="majorHAnsi" w:hAnsiTheme="majorHAnsi" w:cstheme="majorHAnsi"/>
              </w:rPr>
              <w:footnoteReference w:id="12"/>
            </w:r>
          </w:p>
        </w:tc>
        <w:tc>
          <w:tcPr>
            <w:tcW w:w="976" w:type="dxa"/>
          </w:tcPr>
          <w:p w14:paraId="7A57D2DC" w14:textId="7562EF8E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930" w:type="dxa"/>
          </w:tcPr>
          <w:p w14:paraId="164132C4" w14:textId="0FF0EFAC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065" w:type="dxa"/>
          </w:tcPr>
          <w:p w14:paraId="5E4551F5" w14:textId="29275401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23" w:type="dxa"/>
          </w:tcPr>
          <w:p w14:paraId="24660C28" w14:textId="60E679BE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962" w:type="dxa"/>
          </w:tcPr>
          <w:p w14:paraId="12991B3F" w14:textId="6C8EDC07" w:rsidR="00DF56C8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050" w:type="dxa"/>
          </w:tcPr>
          <w:p w14:paraId="16B6FD8E" w14:textId="3F9BDD19" w:rsidR="00DF56C8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052" w:type="dxa"/>
          </w:tcPr>
          <w:p w14:paraId="0529F6DF" w14:textId="597DD8EE" w:rsidR="00DF56C8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06" w:type="dxa"/>
          </w:tcPr>
          <w:p w14:paraId="35F08B06" w14:textId="0388884C" w:rsidR="00DF56C8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776" w:type="dxa"/>
          </w:tcPr>
          <w:p w14:paraId="628426EC" w14:textId="27E16CE1" w:rsidR="00DF56C8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11" w:type="dxa"/>
          </w:tcPr>
          <w:p w14:paraId="02D6219A" w14:textId="6A149FC8" w:rsidR="00DF56C8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DF56C8" w:rsidRPr="00651450" w14:paraId="5455AC70" w14:textId="665C724F" w:rsidTr="00DF56C8">
        <w:trPr>
          <w:jc w:val="center"/>
        </w:trPr>
        <w:tc>
          <w:tcPr>
            <w:tcW w:w="1000" w:type="dxa"/>
            <w:shd w:val="clear" w:color="auto" w:fill="E2EFD9" w:themeFill="accent6" w:themeFillTint="33"/>
          </w:tcPr>
          <w:p w14:paraId="19025496" w14:textId="77777777" w:rsidR="00DF56C8" w:rsidRPr="00651450" w:rsidRDefault="00DF56C8" w:rsidP="00FC305F">
            <w:pPr>
              <w:ind w:left="-113"/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TO 1.1.2.</w:t>
            </w:r>
            <w:r w:rsidRPr="00651450">
              <w:rPr>
                <w:rStyle w:val="Referencafusnote"/>
                <w:rFonts w:asciiTheme="majorHAnsi" w:hAnsiTheme="majorHAnsi" w:cstheme="majorHAnsi"/>
              </w:rPr>
              <w:footnoteReference w:id="13"/>
            </w:r>
          </w:p>
        </w:tc>
        <w:tc>
          <w:tcPr>
            <w:tcW w:w="976" w:type="dxa"/>
          </w:tcPr>
          <w:p w14:paraId="0973C78D" w14:textId="6E8FC5C1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930" w:type="dxa"/>
          </w:tcPr>
          <w:p w14:paraId="39BB2385" w14:textId="1CA27AFF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065" w:type="dxa"/>
          </w:tcPr>
          <w:p w14:paraId="5B4E811A" w14:textId="2055421C" w:rsidR="00DF56C8" w:rsidRPr="00651450" w:rsidRDefault="00DF56C8" w:rsidP="00B377F3">
            <w:pPr>
              <w:tabs>
                <w:tab w:val="left" w:pos="689"/>
              </w:tabs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23" w:type="dxa"/>
          </w:tcPr>
          <w:p w14:paraId="6DBBAFD7" w14:textId="01D5EBDD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62" w:type="dxa"/>
          </w:tcPr>
          <w:p w14:paraId="1F2DD2CF" w14:textId="7E8E2063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50" w:type="dxa"/>
          </w:tcPr>
          <w:p w14:paraId="3BFD1961" w14:textId="06C63FE6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052" w:type="dxa"/>
          </w:tcPr>
          <w:p w14:paraId="77C37155" w14:textId="145423AE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906" w:type="dxa"/>
          </w:tcPr>
          <w:p w14:paraId="1FDFB494" w14:textId="5D5B5837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776" w:type="dxa"/>
          </w:tcPr>
          <w:p w14:paraId="039A1D04" w14:textId="49DDCF02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711" w:type="dxa"/>
          </w:tcPr>
          <w:p w14:paraId="4A57CD89" w14:textId="1D54661B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DF56C8" w:rsidRPr="00651450" w14:paraId="6B08B6A2" w14:textId="72CD4289" w:rsidTr="00DF56C8">
        <w:trPr>
          <w:jc w:val="center"/>
        </w:trPr>
        <w:tc>
          <w:tcPr>
            <w:tcW w:w="1000" w:type="dxa"/>
            <w:shd w:val="clear" w:color="auto" w:fill="E2EFD9" w:themeFill="accent6" w:themeFillTint="33"/>
          </w:tcPr>
          <w:p w14:paraId="75C51CBA" w14:textId="77777777" w:rsidR="00DF56C8" w:rsidRPr="00651450" w:rsidRDefault="00DF56C8" w:rsidP="00B377F3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TO 1.2.1.</w:t>
            </w:r>
            <w:r w:rsidRPr="00651450">
              <w:rPr>
                <w:rStyle w:val="Referencafusnote"/>
                <w:rFonts w:asciiTheme="majorHAnsi" w:hAnsiTheme="majorHAnsi" w:cstheme="majorHAnsi"/>
              </w:rPr>
              <w:footnoteReference w:id="14"/>
            </w:r>
          </w:p>
        </w:tc>
        <w:tc>
          <w:tcPr>
            <w:tcW w:w="976" w:type="dxa"/>
          </w:tcPr>
          <w:p w14:paraId="25EBF5D2" w14:textId="77777777" w:rsidR="00DF56C8" w:rsidRPr="00651450" w:rsidRDefault="00DF56C8" w:rsidP="00B377F3">
            <w:pPr>
              <w:tabs>
                <w:tab w:val="left" w:pos="614"/>
              </w:tabs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930" w:type="dxa"/>
          </w:tcPr>
          <w:p w14:paraId="684242A4" w14:textId="317FF221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065" w:type="dxa"/>
          </w:tcPr>
          <w:p w14:paraId="5103871C" w14:textId="77777777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323" w:type="dxa"/>
          </w:tcPr>
          <w:p w14:paraId="0F632ED7" w14:textId="77777777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962" w:type="dxa"/>
          </w:tcPr>
          <w:p w14:paraId="227601BE" w14:textId="77777777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050" w:type="dxa"/>
          </w:tcPr>
          <w:p w14:paraId="242DABD1" w14:textId="77777777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052" w:type="dxa"/>
          </w:tcPr>
          <w:p w14:paraId="072549F2" w14:textId="77777777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906" w:type="dxa"/>
          </w:tcPr>
          <w:p w14:paraId="3C92744C" w14:textId="77777777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776" w:type="dxa"/>
          </w:tcPr>
          <w:p w14:paraId="477E7EAD" w14:textId="77777777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711" w:type="dxa"/>
          </w:tcPr>
          <w:p w14:paraId="5ACE84E5" w14:textId="7C779EC1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DF56C8" w:rsidRPr="00651450" w14:paraId="71C78270" w14:textId="582EE5F3" w:rsidTr="00DF56C8">
        <w:trPr>
          <w:jc w:val="center"/>
        </w:trPr>
        <w:tc>
          <w:tcPr>
            <w:tcW w:w="1000" w:type="dxa"/>
            <w:shd w:val="clear" w:color="auto" w:fill="E2EFD9" w:themeFill="accent6" w:themeFillTint="33"/>
          </w:tcPr>
          <w:p w14:paraId="48535E76" w14:textId="77777777" w:rsidR="00DF56C8" w:rsidRPr="00651450" w:rsidRDefault="00DF56C8" w:rsidP="00B377F3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TO 2.1.1.</w:t>
            </w:r>
            <w:r w:rsidRPr="00651450">
              <w:rPr>
                <w:rStyle w:val="Referencafusnote"/>
                <w:rFonts w:asciiTheme="majorHAnsi" w:hAnsiTheme="majorHAnsi" w:cstheme="majorHAnsi"/>
              </w:rPr>
              <w:footnoteReference w:id="15"/>
            </w:r>
          </w:p>
        </w:tc>
        <w:tc>
          <w:tcPr>
            <w:tcW w:w="976" w:type="dxa"/>
          </w:tcPr>
          <w:p w14:paraId="415BA737" w14:textId="71A2E8B3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930" w:type="dxa"/>
          </w:tcPr>
          <w:p w14:paraId="742AB45B" w14:textId="1478996F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065" w:type="dxa"/>
          </w:tcPr>
          <w:p w14:paraId="2555FCEC" w14:textId="77777777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323" w:type="dxa"/>
          </w:tcPr>
          <w:p w14:paraId="6ED4B8EE" w14:textId="77777777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962" w:type="dxa"/>
          </w:tcPr>
          <w:p w14:paraId="47955F33" w14:textId="77777777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050" w:type="dxa"/>
          </w:tcPr>
          <w:p w14:paraId="4871F3A8" w14:textId="77777777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052" w:type="dxa"/>
          </w:tcPr>
          <w:p w14:paraId="569D3C7C" w14:textId="77777777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906" w:type="dxa"/>
          </w:tcPr>
          <w:p w14:paraId="692653AF" w14:textId="77777777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776" w:type="dxa"/>
          </w:tcPr>
          <w:p w14:paraId="1A387C03" w14:textId="77777777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711" w:type="dxa"/>
          </w:tcPr>
          <w:p w14:paraId="03FA45AD" w14:textId="77777777" w:rsidR="00DF56C8" w:rsidRPr="00651450" w:rsidRDefault="00DF56C8" w:rsidP="00B377F3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DF56C8" w:rsidRPr="00651450" w14:paraId="2EBA5589" w14:textId="24186424" w:rsidTr="00DF56C8">
        <w:trPr>
          <w:jc w:val="center"/>
        </w:trPr>
        <w:tc>
          <w:tcPr>
            <w:tcW w:w="1000" w:type="dxa"/>
            <w:shd w:val="clear" w:color="auto" w:fill="E2EFD9" w:themeFill="accent6" w:themeFillTint="33"/>
          </w:tcPr>
          <w:p w14:paraId="0DE3E5D2" w14:textId="77777777" w:rsidR="00DF56C8" w:rsidRPr="00651450" w:rsidRDefault="00DF56C8" w:rsidP="00B377F3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UKUPNO</w:t>
            </w:r>
          </w:p>
        </w:tc>
        <w:tc>
          <w:tcPr>
            <w:tcW w:w="976" w:type="dxa"/>
            <w:vAlign w:val="bottom"/>
          </w:tcPr>
          <w:p w14:paraId="7AF468C0" w14:textId="3442A096" w:rsidR="00DF56C8" w:rsidRPr="009F498B" w:rsidRDefault="00DF56C8" w:rsidP="00B377F3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9</w:t>
            </w:r>
          </w:p>
        </w:tc>
        <w:tc>
          <w:tcPr>
            <w:tcW w:w="930" w:type="dxa"/>
            <w:vAlign w:val="bottom"/>
          </w:tcPr>
          <w:p w14:paraId="0D638830" w14:textId="4BF0E868" w:rsidR="00DF56C8" w:rsidRPr="009F498B" w:rsidRDefault="00DF56C8" w:rsidP="00B377F3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17</w:t>
            </w:r>
          </w:p>
        </w:tc>
        <w:tc>
          <w:tcPr>
            <w:tcW w:w="1065" w:type="dxa"/>
            <w:vAlign w:val="bottom"/>
          </w:tcPr>
          <w:p w14:paraId="3E6C456C" w14:textId="7410BD2A" w:rsidR="00DF56C8" w:rsidRPr="009F498B" w:rsidRDefault="00DF56C8" w:rsidP="00B377F3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1323" w:type="dxa"/>
            <w:vAlign w:val="bottom"/>
          </w:tcPr>
          <w:p w14:paraId="5AB00B9C" w14:textId="4980B79F" w:rsidR="00DF56C8" w:rsidRPr="009F498B" w:rsidRDefault="00DF56C8" w:rsidP="00B377F3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13</w:t>
            </w:r>
          </w:p>
        </w:tc>
        <w:tc>
          <w:tcPr>
            <w:tcW w:w="962" w:type="dxa"/>
          </w:tcPr>
          <w:p w14:paraId="11BA49EB" w14:textId="6A1138B5" w:rsidR="00DF56C8" w:rsidRDefault="00DF56C8" w:rsidP="00B377F3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1050" w:type="dxa"/>
          </w:tcPr>
          <w:p w14:paraId="32B26D27" w14:textId="31B971D0" w:rsidR="00DF56C8" w:rsidRDefault="00DF56C8" w:rsidP="00B377F3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1052" w:type="dxa"/>
          </w:tcPr>
          <w:p w14:paraId="02122E2A" w14:textId="32500E48" w:rsidR="00DF56C8" w:rsidRDefault="00DF56C8" w:rsidP="00B377F3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906" w:type="dxa"/>
          </w:tcPr>
          <w:p w14:paraId="0E81AF31" w14:textId="26EC807F" w:rsidR="00DF56C8" w:rsidRDefault="00DF56C8" w:rsidP="00B377F3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10</w:t>
            </w:r>
          </w:p>
        </w:tc>
        <w:tc>
          <w:tcPr>
            <w:tcW w:w="776" w:type="dxa"/>
          </w:tcPr>
          <w:p w14:paraId="56C6752B" w14:textId="5A0A4E02" w:rsidR="00DF56C8" w:rsidRDefault="00DF56C8" w:rsidP="00B377F3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711" w:type="dxa"/>
          </w:tcPr>
          <w:p w14:paraId="1689E663" w14:textId="585F77F5" w:rsidR="00DF56C8" w:rsidRDefault="00DF56C8" w:rsidP="00B377F3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</w:tr>
    </w:tbl>
    <w:p w14:paraId="33B45927" w14:textId="77777777" w:rsidR="00DF56C8" w:rsidRPr="00E47562" w:rsidRDefault="00DF56C8" w:rsidP="00DF56C8">
      <w:pPr>
        <w:pStyle w:val="Bezproreda"/>
        <w:spacing w:line="360" w:lineRule="auto"/>
        <w:ind w:left="720"/>
        <w:jc w:val="center"/>
        <w:rPr>
          <w:rFonts w:asciiTheme="majorHAnsi" w:hAnsiTheme="majorHAnsi" w:cstheme="majorHAnsi"/>
        </w:rPr>
      </w:pPr>
      <w:r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 xml:space="preserve">Izvor: Stručna služba LAG-a SAVA, </w:t>
      </w:r>
      <w:r>
        <w:rPr>
          <w:rFonts w:ascii="Calibri Light" w:hAnsi="Calibri Light" w:cs="Calibri Light"/>
          <w:i/>
          <w:iCs/>
          <w:color w:val="233F60"/>
          <w:sz w:val="20"/>
          <w:szCs w:val="20"/>
        </w:rPr>
        <w:t>studeni 2025</w:t>
      </w:r>
      <w:r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>.</w:t>
      </w:r>
    </w:p>
    <w:p w14:paraId="3024E20A" w14:textId="77777777" w:rsidR="00FC305F" w:rsidRDefault="00FC305F" w:rsidP="00DF56C8">
      <w:pPr>
        <w:jc w:val="center"/>
      </w:pPr>
    </w:p>
    <w:p w14:paraId="075A53A0" w14:textId="120061CB" w:rsidR="00DF56C8" w:rsidRPr="00DF56C8" w:rsidRDefault="00DF56C8" w:rsidP="00DF56C8">
      <w:pPr>
        <w:tabs>
          <w:tab w:val="center" w:pos="4536"/>
        </w:tabs>
        <w:sectPr w:rsidR="00DF56C8" w:rsidRPr="00DF56C8" w:rsidSect="005E141A">
          <w:pgSz w:w="11906" w:h="16838" w:code="9"/>
          <w:pgMar w:top="1417" w:right="1417" w:bottom="1417" w:left="1417" w:header="1134" w:footer="1134" w:gutter="0"/>
          <w:cols w:space="708"/>
          <w:titlePg/>
          <w:docGrid w:linePitch="360"/>
        </w:sectPr>
      </w:pPr>
      <w:r>
        <w:tab/>
      </w:r>
    </w:p>
    <w:p w14:paraId="787660A3" w14:textId="58C7151C" w:rsidR="00DC2DC2" w:rsidRPr="00DC52CE" w:rsidRDefault="00452661" w:rsidP="00DF56C8">
      <w:pPr>
        <w:pStyle w:val="Naslov3"/>
      </w:pPr>
      <w:r w:rsidRPr="00651450">
        <w:lastRenderedPageBreak/>
        <w:tab/>
      </w:r>
      <w:bookmarkStart w:id="29" w:name="_Toc212823183"/>
      <w:r w:rsidR="00DC2DC2" w:rsidRPr="00DC52CE">
        <w:t>Projekti namijenjeni djeci</w:t>
      </w:r>
      <w:bookmarkEnd w:id="29"/>
    </w:p>
    <w:p w14:paraId="2088AAAF" w14:textId="6C2F6059" w:rsidR="003A70CD" w:rsidRDefault="00DC2DC2" w:rsidP="009C0312">
      <w:pPr>
        <w:rPr>
          <w:rFonts w:asciiTheme="majorHAnsi" w:hAnsiTheme="majorHAnsi" w:cstheme="majorHAnsi"/>
        </w:rPr>
      </w:pPr>
      <w:r w:rsidRPr="00651450">
        <w:rPr>
          <w:rFonts w:asciiTheme="majorHAnsi" w:hAnsiTheme="majorHAnsi" w:cstheme="majorHAnsi"/>
        </w:rPr>
        <w:t xml:space="preserve">U projektima </w:t>
      </w:r>
      <w:r w:rsidR="001C1EAD" w:rsidRPr="00651450">
        <w:rPr>
          <w:rFonts w:asciiTheme="majorHAnsi" w:hAnsiTheme="majorHAnsi" w:cstheme="majorHAnsi"/>
        </w:rPr>
        <w:t>koji su se financirali unutar TO 2.1.1. posebno valja izdvojiti projekte koji su namijenjeni djeci</w:t>
      </w:r>
      <w:r w:rsidR="00F92951" w:rsidRPr="00651450">
        <w:rPr>
          <w:rFonts w:asciiTheme="majorHAnsi" w:hAnsiTheme="majorHAnsi" w:cstheme="majorHAnsi"/>
        </w:rPr>
        <w:t xml:space="preserve">. Od ukupno 18 projekata koji su financirani unutar ovog tipa operacije njih 13 namijenjeno je djeci predškolske dobi. </w:t>
      </w:r>
      <w:r w:rsidR="006949E8" w:rsidRPr="00651450">
        <w:rPr>
          <w:rFonts w:asciiTheme="majorHAnsi" w:hAnsiTheme="majorHAnsi" w:cstheme="majorHAnsi"/>
        </w:rPr>
        <w:t xml:space="preserve"> </w:t>
      </w:r>
      <w:r w:rsidR="008D4EB0" w:rsidRPr="00651450">
        <w:rPr>
          <w:rFonts w:asciiTheme="majorHAnsi" w:hAnsiTheme="majorHAnsi" w:cstheme="majorHAnsi"/>
        </w:rPr>
        <w:t>Konačno je isplaćeno</w:t>
      </w:r>
      <w:r w:rsidR="00D10107" w:rsidRPr="00651450">
        <w:rPr>
          <w:rFonts w:asciiTheme="majorHAnsi" w:hAnsiTheme="majorHAnsi" w:cstheme="majorHAnsi"/>
        </w:rPr>
        <w:t xml:space="preserve"> </w:t>
      </w:r>
      <w:r w:rsidR="00480920">
        <w:rPr>
          <w:rFonts w:asciiTheme="majorHAnsi" w:hAnsiTheme="majorHAnsi" w:cstheme="majorHAnsi"/>
        </w:rPr>
        <w:t>18</w:t>
      </w:r>
      <w:r w:rsidR="00D10107" w:rsidRPr="00651450">
        <w:rPr>
          <w:rFonts w:asciiTheme="majorHAnsi" w:hAnsiTheme="majorHAnsi" w:cstheme="majorHAnsi"/>
        </w:rPr>
        <w:t xml:space="preserve"> </w:t>
      </w:r>
      <w:r w:rsidR="00DD5165" w:rsidRPr="00651450">
        <w:rPr>
          <w:rFonts w:asciiTheme="majorHAnsi" w:hAnsiTheme="majorHAnsi" w:cstheme="majorHAnsi"/>
        </w:rPr>
        <w:t xml:space="preserve">projekata u vrijednosti </w:t>
      </w:r>
      <w:r w:rsidR="00480920">
        <w:rPr>
          <w:rFonts w:asciiTheme="majorHAnsi" w:hAnsiTheme="majorHAnsi" w:cstheme="majorHAnsi"/>
        </w:rPr>
        <w:t>498.837,45</w:t>
      </w:r>
      <w:r w:rsidR="00D10107" w:rsidRPr="00651450">
        <w:rPr>
          <w:rFonts w:asciiTheme="majorHAnsi" w:hAnsiTheme="majorHAnsi" w:cstheme="majorHAnsi"/>
        </w:rPr>
        <w:t xml:space="preserve"> €.</w:t>
      </w:r>
    </w:p>
    <w:p w14:paraId="55C69149" w14:textId="77777777" w:rsidR="00747C5E" w:rsidRPr="00651450" w:rsidRDefault="00747C5E" w:rsidP="00DC52CE">
      <w:pPr>
        <w:pStyle w:val="Naslov3"/>
        <w:rPr>
          <w:noProof/>
        </w:rPr>
      </w:pPr>
    </w:p>
    <w:p w14:paraId="0385DD3D" w14:textId="63250A02" w:rsidR="00747C5E" w:rsidRPr="00651450" w:rsidRDefault="003E1DE7" w:rsidP="00DC52CE">
      <w:pPr>
        <w:pStyle w:val="Naslov3"/>
        <w:rPr>
          <w:noProof/>
        </w:rPr>
      </w:pPr>
      <w:bookmarkStart w:id="30" w:name="_Toc212823184"/>
      <w:r>
        <w:rPr>
          <w:noProof/>
        </w:rPr>
        <w:t>Tablica 1</w:t>
      </w:r>
      <w:r w:rsidR="00480920">
        <w:rPr>
          <w:noProof/>
        </w:rPr>
        <w:t>0</w:t>
      </w:r>
      <w:r>
        <w:rPr>
          <w:noProof/>
        </w:rPr>
        <w:t xml:space="preserve">: </w:t>
      </w:r>
      <w:r w:rsidR="00ED5EB6" w:rsidRPr="00651450">
        <w:rPr>
          <w:noProof/>
        </w:rPr>
        <w:t>Struktura prijavitelja</w:t>
      </w:r>
      <w:bookmarkEnd w:id="3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87"/>
        <w:gridCol w:w="1736"/>
        <w:gridCol w:w="1913"/>
        <w:gridCol w:w="1916"/>
        <w:gridCol w:w="1274"/>
      </w:tblGrid>
      <w:tr w:rsidR="002F1E4F" w:rsidRPr="00651450" w14:paraId="3300885F" w14:textId="227CBDD6" w:rsidTr="002F1E4F">
        <w:trPr>
          <w:trHeight w:val="300"/>
        </w:trPr>
        <w:tc>
          <w:tcPr>
            <w:tcW w:w="1787" w:type="dxa"/>
            <w:shd w:val="clear" w:color="auto" w:fill="E2EFD9" w:themeFill="accent6" w:themeFillTint="33"/>
            <w:noWrap/>
            <w:hideMark/>
          </w:tcPr>
          <w:p w14:paraId="23D9811A" w14:textId="0CB5CC12" w:rsidR="002F1E4F" w:rsidRPr="00651450" w:rsidRDefault="002F1E4F">
            <w:pPr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1736" w:type="dxa"/>
            <w:shd w:val="clear" w:color="auto" w:fill="E2EFD9" w:themeFill="accent6" w:themeFillTint="33"/>
            <w:noWrap/>
            <w:hideMark/>
          </w:tcPr>
          <w:p w14:paraId="6A3A75EB" w14:textId="77777777" w:rsidR="002F1E4F" w:rsidRPr="00651450" w:rsidRDefault="002F1E4F">
            <w:pPr>
              <w:rPr>
                <w:rFonts w:asciiTheme="majorHAnsi" w:hAnsiTheme="majorHAnsi" w:cstheme="majorHAnsi"/>
                <w:noProof/>
              </w:rPr>
            </w:pPr>
            <w:r w:rsidRPr="00651450">
              <w:rPr>
                <w:rFonts w:asciiTheme="majorHAnsi" w:hAnsiTheme="majorHAnsi" w:cstheme="majorHAnsi"/>
                <w:noProof/>
              </w:rPr>
              <w:t>Muškarci</w:t>
            </w:r>
          </w:p>
        </w:tc>
        <w:tc>
          <w:tcPr>
            <w:tcW w:w="1913" w:type="dxa"/>
            <w:shd w:val="clear" w:color="auto" w:fill="E2EFD9" w:themeFill="accent6" w:themeFillTint="33"/>
            <w:noWrap/>
            <w:hideMark/>
          </w:tcPr>
          <w:p w14:paraId="5FCAB068" w14:textId="77777777" w:rsidR="002F1E4F" w:rsidRPr="00651450" w:rsidRDefault="002F1E4F">
            <w:pPr>
              <w:rPr>
                <w:rFonts w:asciiTheme="majorHAnsi" w:hAnsiTheme="majorHAnsi" w:cstheme="majorHAnsi"/>
                <w:noProof/>
              </w:rPr>
            </w:pPr>
            <w:r w:rsidRPr="00651450">
              <w:rPr>
                <w:rFonts w:asciiTheme="majorHAnsi" w:hAnsiTheme="majorHAnsi" w:cstheme="majorHAnsi"/>
                <w:noProof/>
              </w:rPr>
              <w:t xml:space="preserve">Žene </w:t>
            </w:r>
          </w:p>
        </w:tc>
        <w:tc>
          <w:tcPr>
            <w:tcW w:w="1916" w:type="dxa"/>
            <w:shd w:val="clear" w:color="auto" w:fill="E2EFD9" w:themeFill="accent6" w:themeFillTint="33"/>
            <w:noWrap/>
            <w:hideMark/>
          </w:tcPr>
          <w:p w14:paraId="7DDE5F2B" w14:textId="7ED4A786" w:rsidR="002F1E4F" w:rsidRPr="00651450" w:rsidRDefault="002F1E4F">
            <w:pPr>
              <w:rPr>
                <w:rFonts w:asciiTheme="majorHAnsi" w:hAnsiTheme="majorHAnsi" w:cstheme="majorHAnsi"/>
                <w:noProof/>
              </w:rPr>
            </w:pPr>
            <w:r w:rsidRPr="00651450">
              <w:rPr>
                <w:rFonts w:asciiTheme="majorHAnsi" w:hAnsiTheme="majorHAnsi" w:cstheme="majorHAnsi"/>
                <w:noProof/>
              </w:rPr>
              <w:t>Ukupno prijavitelja</w:t>
            </w:r>
          </w:p>
        </w:tc>
        <w:tc>
          <w:tcPr>
            <w:tcW w:w="1274" w:type="dxa"/>
            <w:shd w:val="clear" w:color="auto" w:fill="E2EFD9" w:themeFill="accent6" w:themeFillTint="33"/>
            <w:noWrap/>
            <w:hideMark/>
          </w:tcPr>
          <w:p w14:paraId="56F5E935" w14:textId="77777777" w:rsidR="002F1E4F" w:rsidRPr="00651450" w:rsidRDefault="002F1E4F">
            <w:pPr>
              <w:rPr>
                <w:rFonts w:asciiTheme="majorHAnsi" w:hAnsiTheme="majorHAnsi" w:cstheme="majorHAnsi"/>
                <w:noProof/>
              </w:rPr>
            </w:pPr>
            <w:r w:rsidRPr="00651450">
              <w:rPr>
                <w:rFonts w:asciiTheme="majorHAnsi" w:hAnsiTheme="majorHAnsi" w:cstheme="majorHAnsi"/>
                <w:noProof/>
              </w:rPr>
              <w:t>Od toga mladi do 40 g</w:t>
            </w:r>
          </w:p>
        </w:tc>
      </w:tr>
      <w:tr w:rsidR="002F1E4F" w:rsidRPr="00651450" w14:paraId="24ACACA3" w14:textId="4F18A01E" w:rsidTr="002F1E4F">
        <w:trPr>
          <w:trHeight w:val="300"/>
        </w:trPr>
        <w:tc>
          <w:tcPr>
            <w:tcW w:w="1787" w:type="dxa"/>
            <w:shd w:val="clear" w:color="auto" w:fill="E2EFD9" w:themeFill="accent6" w:themeFillTint="33"/>
            <w:noWrap/>
            <w:hideMark/>
          </w:tcPr>
          <w:p w14:paraId="367C707D" w14:textId="23DAE3CB" w:rsidR="002F1E4F" w:rsidRPr="00651450" w:rsidRDefault="002F1E4F">
            <w:pPr>
              <w:rPr>
                <w:rFonts w:asciiTheme="majorHAnsi" w:hAnsiTheme="majorHAnsi" w:cstheme="majorHAnsi"/>
                <w:noProof/>
              </w:rPr>
            </w:pPr>
            <w:r w:rsidRPr="00651450">
              <w:rPr>
                <w:rFonts w:asciiTheme="majorHAnsi" w:hAnsiTheme="majorHAnsi" w:cstheme="majorHAnsi"/>
                <w:noProof/>
              </w:rPr>
              <w:t>Broj korisnika</w:t>
            </w:r>
          </w:p>
        </w:tc>
        <w:tc>
          <w:tcPr>
            <w:tcW w:w="1736" w:type="dxa"/>
            <w:noWrap/>
            <w:hideMark/>
          </w:tcPr>
          <w:p w14:paraId="5EF44C4A" w14:textId="77777777" w:rsidR="002F1E4F" w:rsidRPr="00651450" w:rsidRDefault="002F1E4F" w:rsidP="00A61E7C">
            <w:pPr>
              <w:rPr>
                <w:rFonts w:asciiTheme="majorHAnsi" w:hAnsiTheme="majorHAnsi" w:cstheme="majorHAnsi"/>
                <w:noProof/>
              </w:rPr>
            </w:pPr>
            <w:r w:rsidRPr="00651450">
              <w:rPr>
                <w:rFonts w:asciiTheme="majorHAnsi" w:hAnsiTheme="majorHAnsi" w:cstheme="majorHAnsi"/>
                <w:noProof/>
              </w:rPr>
              <w:t>75</w:t>
            </w:r>
          </w:p>
        </w:tc>
        <w:tc>
          <w:tcPr>
            <w:tcW w:w="1913" w:type="dxa"/>
            <w:noWrap/>
            <w:hideMark/>
          </w:tcPr>
          <w:p w14:paraId="5D1FADC4" w14:textId="77777777" w:rsidR="002F1E4F" w:rsidRPr="00651450" w:rsidRDefault="002F1E4F" w:rsidP="00A61E7C">
            <w:pPr>
              <w:rPr>
                <w:rFonts w:asciiTheme="majorHAnsi" w:hAnsiTheme="majorHAnsi" w:cstheme="majorHAnsi"/>
                <w:noProof/>
              </w:rPr>
            </w:pPr>
            <w:r w:rsidRPr="00651450">
              <w:rPr>
                <w:rFonts w:asciiTheme="majorHAnsi" w:hAnsiTheme="majorHAnsi" w:cstheme="majorHAnsi"/>
                <w:noProof/>
              </w:rPr>
              <w:t>12</w:t>
            </w:r>
          </w:p>
        </w:tc>
        <w:tc>
          <w:tcPr>
            <w:tcW w:w="1916" w:type="dxa"/>
            <w:noWrap/>
            <w:hideMark/>
          </w:tcPr>
          <w:p w14:paraId="235A0DD9" w14:textId="77777777" w:rsidR="002F1E4F" w:rsidRPr="00651450" w:rsidRDefault="002F1E4F" w:rsidP="00A61E7C">
            <w:pPr>
              <w:rPr>
                <w:rFonts w:asciiTheme="majorHAnsi" w:hAnsiTheme="majorHAnsi" w:cstheme="majorHAnsi"/>
                <w:noProof/>
              </w:rPr>
            </w:pPr>
            <w:r w:rsidRPr="00651450">
              <w:rPr>
                <w:rFonts w:asciiTheme="majorHAnsi" w:hAnsiTheme="majorHAnsi" w:cstheme="majorHAnsi"/>
                <w:noProof/>
              </w:rPr>
              <w:t>87</w:t>
            </w:r>
          </w:p>
        </w:tc>
        <w:tc>
          <w:tcPr>
            <w:tcW w:w="1274" w:type="dxa"/>
            <w:noWrap/>
            <w:hideMark/>
          </w:tcPr>
          <w:p w14:paraId="50D208E9" w14:textId="77777777" w:rsidR="002F1E4F" w:rsidRPr="00651450" w:rsidRDefault="002F1E4F" w:rsidP="00A61E7C">
            <w:pPr>
              <w:rPr>
                <w:rFonts w:asciiTheme="majorHAnsi" w:hAnsiTheme="majorHAnsi" w:cstheme="majorHAnsi"/>
                <w:noProof/>
              </w:rPr>
            </w:pPr>
            <w:r w:rsidRPr="00651450">
              <w:rPr>
                <w:rFonts w:asciiTheme="majorHAnsi" w:hAnsiTheme="majorHAnsi" w:cstheme="majorHAnsi"/>
                <w:noProof/>
              </w:rPr>
              <w:t>39</w:t>
            </w:r>
          </w:p>
        </w:tc>
      </w:tr>
    </w:tbl>
    <w:p w14:paraId="2DDC049B" w14:textId="1842F357" w:rsidR="003E1DE7" w:rsidRPr="00E47562" w:rsidRDefault="003E1DE7" w:rsidP="003E1DE7">
      <w:pPr>
        <w:pStyle w:val="Bezproreda"/>
        <w:spacing w:line="360" w:lineRule="auto"/>
        <w:ind w:left="720"/>
        <w:jc w:val="center"/>
        <w:rPr>
          <w:rFonts w:asciiTheme="majorHAnsi" w:hAnsiTheme="majorHAnsi" w:cstheme="majorHAnsi"/>
        </w:rPr>
      </w:pPr>
      <w:r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 xml:space="preserve">Izvor: Stručna služba LAG-a SAVA, </w:t>
      </w:r>
      <w:r w:rsidR="00240436">
        <w:rPr>
          <w:rFonts w:ascii="Calibri Light" w:hAnsi="Calibri Light" w:cs="Calibri Light"/>
          <w:i/>
          <w:iCs/>
          <w:color w:val="233F60"/>
          <w:sz w:val="20"/>
          <w:szCs w:val="20"/>
        </w:rPr>
        <w:t>studeni 2025</w:t>
      </w:r>
      <w:r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>.</w:t>
      </w:r>
    </w:p>
    <w:p w14:paraId="02B9B054" w14:textId="08F8B4DE" w:rsidR="00FC5D44" w:rsidRPr="00DC52CE" w:rsidRDefault="003E1DE7" w:rsidP="00DC52CE">
      <w:pPr>
        <w:pStyle w:val="Naslov3"/>
      </w:pPr>
      <w:bookmarkStart w:id="31" w:name="_Toc212823185"/>
      <w:r w:rsidRPr="00DC52CE">
        <w:t>Tablica 1</w:t>
      </w:r>
      <w:r w:rsidR="00480920">
        <w:t>1</w:t>
      </w:r>
      <w:r w:rsidRPr="00DC52CE">
        <w:t xml:space="preserve">: </w:t>
      </w:r>
      <w:r w:rsidR="00317BEB" w:rsidRPr="00DC52CE">
        <w:t>Ekološki certifikat</w:t>
      </w:r>
      <w:bookmarkEnd w:id="31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5"/>
        <w:gridCol w:w="2165"/>
        <w:gridCol w:w="2384"/>
        <w:gridCol w:w="2268"/>
      </w:tblGrid>
      <w:tr w:rsidR="000C5B0D" w:rsidRPr="00651450" w14:paraId="277E9E01" w14:textId="77777777" w:rsidTr="009F498B">
        <w:trPr>
          <w:trHeight w:val="300"/>
        </w:trPr>
        <w:tc>
          <w:tcPr>
            <w:tcW w:w="2245" w:type="dxa"/>
            <w:shd w:val="clear" w:color="auto" w:fill="E2EFD9" w:themeFill="accent6" w:themeFillTint="33"/>
            <w:noWrap/>
            <w:hideMark/>
          </w:tcPr>
          <w:p w14:paraId="4A476DE2" w14:textId="34F53228" w:rsidR="000C5B0D" w:rsidRPr="00651450" w:rsidRDefault="000C5B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5" w:type="dxa"/>
            <w:shd w:val="clear" w:color="auto" w:fill="E2EFD9" w:themeFill="accent6" w:themeFillTint="33"/>
            <w:noWrap/>
            <w:hideMark/>
          </w:tcPr>
          <w:p w14:paraId="314F58F6" w14:textId="77777777" w:rsidR="000C5B0D" w:rsidRPr="00651450" w:rsidRDefault="000C5B0D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Ekološki certifikat</w:t>
            </w:r>
          </w:p>
        </w:tc>
        <w:tc>
          <w:tcPr>
            <w:tcW w:w="2384" w:type="dxa"/>
            <w:shd w:val="clear" w:color="auto" w:fill="E2EFD9" w:themeFill="accent6" w:themeFillTint="33"/>
            <w:noWrap/>
            <w:hideMark/>
          </w:tcPr>
          <w:p w14:paraId="4C149162" w14:textId="77777777" w:rsidR="000C5B0D" w:rsidRPr="00651450" w:rsidRDefault="000C5B0D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Ukupni broj projekata</w:t>
            </w:r>
          </w:p>
        </w:tc>
        <w:tc>
          <w:tcPr>
            <w:tcW w:w="2268" w:type="dxa"/>
            <w:shd w:val="clear" w:color="auto" w:fill="E2EFD9" w:themeFill="accent6" w:themeFillTint="33"/>
            <w:noWrap/>
            <w:hideMark/>
          </w:tcPr>
          <w:p w14:paraId="4C1A4966" w14:textId="77777777" w:rsidR="000C5B0D" w:rsidRPr="00651450" w:rsidRDefault="000C5B0D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% projekata ekološke poljoprivrede</w:t>
            </w:r>
          </w:p>
        </w:tc>
      </w:tr>
      <w:tr w:rsidR="000C5B0D" w:rsidRPr="00651450" w14:paraId="5ED5106F" w14:textId="77777777" w:rsidTr="009F498B">
        <w:trPr>
          <w:trHeight w:val="300"/>
        </w:trPr>
        <w:tc>
          <w:tcPr>
            <w:tcW w:w="2245" w:type="dxa"/>
            <w:shd w:val="clear" w:color="auto" w:fill="E2EFD9" w:themeFill="accent6" w:themeFillTint="33"/>
            <w:noWrap/>
            <w:hideMark/>
          </w:tcPr>
          <w:p w14:paraId="3F805EEF" w14:textId="77777777" w:rsidR="000C5B0D" w:rsidRPr="00651450" w:rsidRDefault="000C5B0D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Broj korisnika</w:t>
            </w:r>
          </w:p>
        </w:tc>
        <w:tc>
          <w:tcPr>
            <w:tcW w:w="2165" w:type="dxa"/>
            <w:noWrap/>
            <w:hideMark/>
          </w:tcPr>
          <w:p w14:paraId="3AC6D71C" w14:textId="2AA42804" w:rsidR="000C5B0D" w:rsidRPr="00651450" w:rsidRDefault="002F1E4F" w:rsidP="000C5B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384" w:type="dxa"/>
            <w:noWrap/>
            <w:hideMark/>
          </w:tcPr>
          <w:p w14:paraId="7937104E" w14:textId="77777777" w:rsidR="000C5B0D" w:rsidRPr="00651450" w:rsidRDefault="000C5B0D" w:rsidP="000C5B0D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87</w:t>
            </w:r>
          </w:p>
        </w:tc>
        <w:tc>
          <w:tcPr>
            <w:tcW w:w="2268" w:type="dxa"/>
            <w:noWrap/>
            <w:hideMark/>
          </w:tcPr>
          <w:p w14:paraId="507976F2" w14:textId="328DB834" w:rsidR="000C5B0D" w:rsidRPr="00651450" w:rsidRDefault="002F1E4F" w:rsidP="000C5B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11,50</w:t>
            </w:r>
            <w:r w:rsidR="000C5B0D" w:rsidRPr="00651450">
              <w:rPr>
                <w:rFonts w:asciiTheme="majorHAnsi" w:hAnsiTheme="majorHAnsi" w:cstheme="majorHAnsi"/>
              </w:rPr>
              <w:t>%</w:t>
            </w:r>
          </w:p>
        </w:tc>
      </w:tr>
      <w:tr w:rsidR="000C5B0D" w:rsidRPr="00651450" w14:paraId="3DD8E4DC" w14:textId="77777777" w:rsidTr="009F498B">
        <w:trPr>
          <w:trHeight w:val="300"/>
        </w:trPr>
        <w:tc>
          <w:tcPr>
            <w:tcW w:w="2245" w:type="dxa"/>
            <w:shd w:val="clear" w:color="auto" w:fill="E2EFD9" w:themeFill="accent6" w:themeFillTint="33"/>
            <w:noWrap/>
            <w:hideMark/>
          </w:tcPr>
          <w:p w14:paraId="2EE44918" w14:textId="77777777" w:rsidR="000C5B0D" w:rsidRPr="00651450" w:rsidRDefault="000C5B0D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Iznos konačno isplaćenih projekata</w:t>
            </w:r>
          </w:p>
        </w:tc>
        <w:tc>
          <w:tcPr>
            <w:tcW w:w="2165" w:type="dxa"/>
            <w:noWrap/>
            <w:hideMark/>
          </w:tcPr>
          <w:p w14:paraId="06D4DE3C" w14:textId="4257A1CA" w:rsidR="000C5B0D" w:rsidRPr="00651450" w:rsidRDefault="000C5B0D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 xml:space="preserve">                                     </w:t>
            </w:r>
            <w:r w:rsidR="002F1E4F">
              <w:rPr>
                <w:rFonts w:asciiTheme="majorHAnsi" w:hAnsiTheme="majorHAnsi" w:cstheme="majorHAnsi"/>
              </w:rPr>
              <w:t>144.134,18</w:t>
            </w:r>
            <w:r w:rsidRPr="00651450">
              <w:rPr>
                <w:rFonts w:asciiTheme="majorHAnsi" w:hAnsiTheme="majorHAnsi" w:cstheme="majorHAnsi"/>
              </w:rPr>
              <w:t xml:space="preserve"> € </w:t>
            </w:r>
          </w:p>
        </w:tc>
        <w:tc>
          <w:tcPr>
            <w:tcW w:w="2384" w:type="dxa"/>
            <w:noWrap/>
            <w:hideMark/>
          </w:tcPr>
          <w:p w14:paraId="2F5E6656" w14:textId="313A99C0" w:rsidR="000C5B0D" w:rsidRPr="00651450" w:rsidRDefault="000C5B0D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 xml:space="preserve">                                        </w:t>
            </w:r>
            <w:r w:rsidR="002F1E4F">
              <w:rPr>
                <w:rFonts w:asciiTheme="majorHAnsi" w:hAnsiTheme="majorHAnsi" w:cstheme="majorHAnsi"/>
              </w:rPr>
              <w:t>1.623.243,22</w:t>
            </w:r>
            <w:r w:rsidRPr="00651450">
              <w:rPr>
                <w:rFonts w:asciiTheme="majorHAnsi" w:hAnsiTheme="majorHAnsi" w:cstheme="majorHAnsi"/>
              </w:rPr>
              <w:t xml:space="preserve"> € </w:t>
            </w:r>
          </w:p>
        </w:tc>
        <w:tc>
          <w:tcPr>
            <w:tcW w:w="2268" w:type="dxa"/>
            <w:noWrap/>
            <w:hideMark/>
          </w:tcPr>
          <w:p w14:paraId="5388B01B" w14:textId="66A801BB" w:rsidR="000C5B0D" w:rsidRPr="00651450" w:rsidRDefault="002F1E4F" w:rsidP="000C5B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8,88</w:t>
            </w:r>
            <w:r w:rsidR="000C5B0D" w:rsidRPr="00651450">
              <w:rPr>
                <w:rFonts w:asciiTheme="majorHAnsi" w:hAnsiTheme="majorHAnsi" w:cstheme="majorHAnsi"/>
              </w:rPr>
              <w:t>%</w:t>
            </w:r>
          </w:p>
        </w:tc>
      </w:tr>
    </w:tbl>
    <w:p w14:paraId="5C4AF4A3" w14:textId="142B79B1" w:rsidR="00560E96" w:rsidRPr="00E47562" w:rsidRDefault="00560E96" w:rsidP="00560E96">
      <w:pPr>
        <w:pStyle w:val="Bezproreda"/>
        <w:tabs>
          <w:tab w:val="left" w:pos="4406"/>
        </w:tabs>
        <w:spacing w:line="360" w:lineRule="auto"/>
        <w:ind w:left="720"/>
        <w:jc w:val="center"/>
        <w:rPr>
          <w:rFonts w:asciiTheme="majorHAnsi" w:hAnsiTheme="majorHAnsi" w:cstheme="majorHAnsi"/>
        </w:rPr>
      </w:pPr>
      <w:r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 xml:space="preserve">Izvor: Stručna služba LAG-a SAVA, </w:t>
      </w:r>
      <w:r w:rsidR="00240436">
        <w:rPr>
          <w:rFonts w:ascii="Calibri Light" w:hAnsi="Calibri Light" w:cs="Calibri Light"/>
          <w:i/>
          <w:iCs/>
          <w:color w:val="233F60"/>
          <w:sz w:val="20"/>
          <w:szCs w:val="20"/>
        </w:rPr>
        <w:t>studeni 2025</w:t>
      </w:r>
      <w:r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>.</w:t>
      </w:r>
    </w:p>
    <w:p w14:paraId="37E3A2DD" w14:textId="77777777" w:rsidR="00A31113" w:rsidRPr="00651450" w:rsidRDefault="00A31113" w:rsidP="00E753C3">
      <w:pPr>
        <w:pStyle w:val="Naslov2"/>
        <w:rPr>
          <w:rFonts w:cstheme="majorHAnsi"/>
          <w:sz w:val="22"/>
          <w:szCs w:val="22"/>
        </w:rPr>
      </w:pPr>
    </w:p>
    <w:p w14:paraId="578836B8" w14:textId="44252D9F" w:rsidR="00965E7C" w:rsidRPr="00DC52CE" w:rsidRDefault="003E1DE7" w:rsidP="00DC52CE">
      <w:pPr>
        <w:pStyle w:val="Naslov3"/>
      </w:pPr>
      <w:bookmarkStart w:id="32" w:name="_Toc212823186"/>
      <w:r w:rsidRPr="00DC52CE">
        <w:t>Tablica 1</w:t>
      </w:r>
      <w:r w:rsidR="00480920">
        <w:t>2</w:t>
      </w:r>
      <w:r w:rsidRPr="00DC52CE">
        <w:t xml:space="preserve">: </w:t>
      </w:r>
      <w:r w:rsidR="00965E7C" w:rsidRPr="00DC52CE">
        <w:t>Kompetencije -broj projekata</w:t>
      </w:r>
      <w:bookmarkEnd w:id="32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5"/>
        <w:gridCol w:w="1910"/>
        <w:gridCol w:w="2096"/>
        <w:gridCol w:w="1785"/>
        <w:gridCol w:w="1436"/>
      </w:tblGrid>
      <w:tr w:rsidR="00ED086B" w:rsidRPr="00651450" w14:paraId="1F6B6415" w14:textId="77777777" w:rsidTr="009F498B">
        <w:trPr>
          <w:trHeight w:val="300"/>
        </w:trPr>
        <w:tc>
          <w:tcPr>
            <w:tcW w:w="1835" w:type="dxa"/>
            <w:shd w:val="clear" w:color="auto" w:fill="E2EFD9" w:themeFill="accent6" w:themeFillTint="33"/>
            <w:noWrap/>
            <w:hideMark/>
          </w:tcPr>
          <w:p w14:paraId="5051D36F" w14:textId="77777777" w:rsidR="00ED086B" w:rsidRPr="00651450" w:rsidRDefault="00ED086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10" w:type="dxa"/>
            <w:shd w:val="clear" w:color="auto" w:fill="E2EFD9" w:themeFill="accent6" w:themeFillTint="33"/>
            <w:noWrap/>
            <w:hideMark/>
          </w:tcPr>
          <w:p w14:paraId="6E292230" w14:textId="77777777" w:rsidR="00ED086B" w:rsidRPr="00651450" w:rsidRDefault="00ED086B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Tečaj</w:t>
            </w:r>
          </w:p>
        </w:tc>
        <w:tc>
          <w:tcPr>
            <w:tcW w:w="2096" w:type="dxa"/>
            <w:shd w:val="clear" w:color="auto" w:fill="E2EFD9" w:themeFill="accent6" w:themeFillTint="33"/>
            <w:noWrap/>
            <w:hideMark/>
          </w:tcPr>
          <w:p w14:paraId="3B11759D" w14:textId="77777777" w:rsidR="00ED086B" w:rsidRPr="00651450" w:rsidRDefault="00ED086B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SSS</w:t>
            </w:r>
          </w:p>
        </w:tc>
        <w:tc>
          <w:tcPr>
            <w:tcW w:w="1785" w:type="dxa"/>
            <w:shd w:val="clear" w:color="auto" w:fill="E2EFD9" w:themeFill="accent6" w:themeFillTint="33"/>
            <w:noWrap/>
            <w:hideMark/>
          </w:tcPr>
          <w:p w14:paraId="27D9CA59" w14:textId="77777777" w:rsidR="00ED086B" w:rsidRPr="00651450" w:rsidRDefault="00ED086B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VSS</w:t>
            </w:r>
          </w:p>
        </w:tc>
        <w:tc>
          <w:tcPr>
            <w:tcW w:w="1436" w:type="dxa"/>
            <w:shd w:val="clear" w:color="auto" w:fill="E2EFD9" w:themeFill="accent6" w:themeFillTint="33"/>
            <w:noWrap/>
            <w:hideMark/>
          </w:tcPr>
          <w:p w14:paraId="693488A7" w14:textId="77777777" w:rsidR="00ED086B" w:rsidRPr="00651450" w:rsidRDefault="00ED086B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Radno iskustvo</w:t>
            </w:r>
          </w:p>
        </w:tc>
      </w:tr>
      <w:tr w:rsidR="00ED086B" w:rsidRPr="00651450" w14:paraId="1CE14610" w14:textId="77777777" w:rsidTr="00AB4842">
        <w:trPr>
          <w:trHeight w:val="300"/>
        </w:trPr>
        <w:tc>
          <w:tcPr>
            <w:tcW w:w="1835" w:type="dxa"/>
            <w:shd w:val="clear" w:color="auto" w:fill="E2EFD9" w:themeFill="accent6" w:themeFillTint="33"/>
            <w:noWrap/>
            <w:hideMark/>
          </w:tcPr>
          <w:p w14:paraId="75EB454E" w14:textId="77777777" w:rsidR="00ED086B" w:rsidRPr="00651450" w:rsidRDefault="00ED086B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TO 1.1.1</w:t>
            </w:r>
          </w:p>
        </w:tc>
        <w:tc>
          <w:tcPr>
            <w:tcW w:w="1910" w:type="dxa"/>
            <w:noWrap/>
          </w:tcPr>
          <w:p w14:paraId="5DCEACB5" w14:textId="7FCB9B9A" w:rsidR="00ED086B" w:rsidRPr="00651450" w:rsidRDefault="00AB4842" w:rsidP="00ED08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2096" w:type="dxa"/>
            <w:noWrap/>
          </w:tcPr>
          <w:p w14:paraId="5CC480D5" w14:textId="539CCB09" w:rsidR="00ED086B" w:rsidRPr="00651450" w:rsidRDefault="00AB4842" w:rsidP="00ED08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785" w:type="dxa"/>
            <w:noWrap/>
          </w:tcPr>
          <w:p w14:paraId="798F467D" w14:textId="452EA2AC" w:rsidR="00ED086B" w:rsidRPr="00651450" w:rsidRDefault="00AB4842" w:rsidP="00ED08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436" w:type="dxa"/>
            <w:noWrap/>
          </w:tcPr>
          <w:p w14:paraId="089024D2" w14:textId="49CA20DA" w:rsidR="00ED086B" w:rsidRPr="00651450" w:rsidRDefault="00AB4842" w:rsidP="00ED08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ED086B" w:rsidRPr="00651450" w14:paraId="35448F5D" w14:textId="77777777" w:rsidTr="00AB4842">
        <w:trPr>
          <w:trHeight w:val="300"/>
        </w:trPr>
        <w:tc>
          <w:tcPr>
            <w:tcW w:w="1835" w:type="dxa"/>
            <w:shd w:val="clear" w:color="auto" w:fill="E2EFD9" w:themeFill="accent6" w:themeFillTint="33"/>
            <w:noWrap/>
            <w:hideMark/>
          </w:tcPr>
          <w:p w14:paraId="09498904" w14:textId="77777777" w:rsidR="00ED086B" w:rsidRPr="00651450" w:rsidRDefault="00ED086B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TO 1.1.2.</w:t>
            </w:r>
          </w:p>
        </w:tc>
        <w:tc>
          <w:tcPr>
            <w:tcW w:w="1910" w:type="dxa"/>
            <w:noWrap/>
          </w:tcPr>
          <w:p w14:paraId="651A1094" w14:textId="411D5BF4" w:rsidR="00ED086B" w:rsidRPr="00651450" w:rsidRDefault="00AB4842" w:rsidP="00ED08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096" w:type="dxa"/>
            <w:noWrap/>
          </w:tcPr>
          <w:p w14:paraId="33FAEB76" w14:textId="192BAA3B" w:rsidR="00ED086B" w:rsidRPr="00651450" w:rsidRDefault="00ED086B" w:rsidP="00ED086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noWrap/>
          </w:tcPr>
          <w:p w14:paraId="3C27E4B6" w14:textId="6FF8734E" w:rsidR="00ED086B" w:rsidRPr="00651450" w:rsidRDefault="00AB4842" w:rsidP="00ED08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436" w:type="dxa"/>
            <w:noWrap/>
          </w:tcPr>
          <w:p w14:paraId="617DE199" w14:textId="74224375" w:rsidR="00ED086B" w:rsidRPr="00651450" w:rsidRDefault="00AB4842" w:rsidP="00ED08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ED086B" w:rsidRPr="00651450" w14:paraId="19102D37" w14:textId="77777777" w:rsidTr="00AB4842">
        <w:trPr>
          <w:trHeight w:val="300"/>
        </w:trPr>
        <w:tc>
          <w:tcPr>
            <w:tcW w:w="1835" w:type="dxa"/>
            <w:shd w:val="clear" w:color="auto" w:fill="E2EFD9" w:themeFill="accent6" w:themeFillTint="33"/>
            <w:noWrap/>
            <w:hideMark/>
          </w:tcPr>
          <w:p w14:paraId="223CA207" w14:textId="77777777" w:rsidR="00ED086B" w:rsidRPr="00651450" w:rsidRDefault="00ED086B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TO 1.2.1.</w:t>
            </w:r>
          </w:p>
        </w:tc>
        <w:tc>
          <w:tcPr>
            <w:tcW w:w="1910" w:type="dxa"/>
            <w:noWrap/>
          </w:tcPr>
          <w:p w14:paraId="0B20A5B6" w14:textId="1C461D69" w:rsidR="00ED086B" w:rsidRPr="00651450" w:rsidRDefault="00ED086B" w:rsidP="00ED086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96" w:type="dxa"/>
            <w:noWrap/>
          </w:tcPr>
          <w:p w14:paraId="7E81EF4F" w14:textId="4125F10F" w:rsidR="00ED086B" w:rsidRPr="00651450" w:rsidRDefault="00AB4842" w:rsidP="00ED08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785" w:type="dxa"/>
            <w:noWrap/>
          </w:tcPr>
          <w:p w14:paraId="59C6B2BE" w14:textId="77777777" w:rsidR="00ED086B" w:rsidRPr="00651450" w:rsidRDefault="00ED086B" w:rsidP="00ED086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6" w:type="dxa"/>
            <w:noWrap/>
          </w:tcPr>
          <w:p w14:paraId="36C40568" w14:textId="6182D9B6" w:rsidR="00ED086B" w:rsidRPr="00651450" w:rsidRDefault="00AB4842" w:rsidP="00ED08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ED086B" w:rsidRPr="00651450" w14:paraId="13871FC6" w14:textId="77777777" w:rsidTr="00AB4842">
        <w:trPr>
          <w:trHeight w:val="300"/>
        </w:trPr>
        <w:tc>
          <w:tcPr>
            <w:tcW w:w="1835" w:type="dxa"/>
            <w:shd w:val="clear" w:color="auto" w:fill="E2EFD9" w:themeFill="accent6" w:themeFillTint="33"/>
            <w:noWrap/>
            <w:hideMark/>
          </w:tcPr>
          <w:p w14:paraId="1CA366EE" w14:textId="77777777" w:rsidR="00ED086B" w:rsidRPr="00651450" w:rsidRDefault="00ED086B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TO 2.1.1.</w:t>
            </w:r>
          </w:p>
        </w:tc>
        <w:tc>
          <w:tcPr>
            <w:tcW w:w="1910" w:type="dxa"/>
            <w:noWrap/>
          </w:tcPr>
          <w:p w14:paraId="43B08B08" w14:textId="79DDB733" w:rsidR="00ED086B" w:rsidRPr="00651450" w:rsidRDefault="00ED086B" w:rsidP="00ED086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96" w:type="dxa"/>
            <w:noWrap/>
          </w:tcPr>
          <w:p w14:paraId="66D29230" w14:textId="4B0AD6C2" w:rsidR="00ED086B" w:rsidRPr="00651450" w:rsidRDefault="00ED086B" w:rsidP="00ED086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noWrap/>
          </w:tcPr>
          <w:p w14:paraId="373F24F0" w14:textId="45FE6238" w:rsidR="00ED086B" w:rsidRPr="00651450" w:rsidRDefault="00ED086B" w:rsidP="00ED086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6" w:type="dxa"/>
            <w:noWrap/>
          </w:tcPr>
          <w:p w14:paraId="0C78DB70" w14:textId="48E2F5D9" w:rsidR="00ED086B" w:rsidRPr="00651450" w:rsidRDefault="00ED086B" w:rsidP="00ED086B">
            <w:pPr>
              <w:rPr>
                <w:rFonts w:asciiTheme="majorHAnsi" w:hAnsiTheme="majorHAnsi" w:cstheme="majorHAnsi"/>
              </w:rPr>
            </w:pPr>
          </w:p>
        </w:tc>
      </w:tr>
      <w:tr w:rsidR="00ED086B" w:rsidRPr="00651450" w14:paraId="377AF3A9" w14:textId="77777777" w:rsidTr="00AB4842">
        <w:trPr>
          <w:trHeight w:val="300"/>
        </w:trPr>
        <w:tc>
          <w:tcPr>
            <w:tcW w:w="1835" w:type="dxa"/>
            <w:shd w:val="clear" w:color="auto" w:fill="E2EFD9" w:themeFill="accent6" w:themeFillTint="33"/>
            <w:noWrap/>
            <w:hideMark/>
          </w:tcPr>
          <w:p w14:paraId="41DA985E" w14:textId="77777777" w:rsidR="00ED086B" w:rsidRPr="00651450" w:rsidRDefault="00ED086B">
            <w:pPr>
              <w:rPr>
                <w:rFonts w:asciiTheme="majorHAnsi" w:hAnsiTheme="majorHAnsi" w:cstheme="majorHAnsi"/>
              </w:rPr>
            </w:pPr>
            <w:r w:rsidRPr="00651450">
              <w:rPr>
                <w:rFonts w:asciiTheme="majorHAnsi" w:hAnsiTheme="majorHAnsi" w:cstheme="majorHAnsi"/>
              </w:rPr>
              <w:t>Ukupno</w:t>
            </w:r>
          </w:p>
        </w:tc>
        <w:tc>
          <w:tcPr>
            <w:tcW w:w="1910" w:type="dxa"/>
            <w:noWrap/>
          </w:tcPr>
          <w:p w14:paraId="7A1412C8" w14:textId="4E35D50F" w:rsidR="00ED086B" w:rsidRPr="009F498B" w:rsidRDefault="00AB4842" w:rsidP="00ED086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15</w:t>
            </w:r>
          </w:p>
        </w:tc>
        <w:tc>
          <w:tcPr>
            <w:tcW w:w="2096" w:type="dxa"/>
            <w:noWrap/>
          </w:tcPr>
          <w:p w14:paraId="6F216B2E" w14:textId="423BF31C" w:rsidR="00ED086B" w:rsidRPr="009F498B" w:rsidRDefault="00AB4842" w:rsidP="00ED086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12</w:t>
            </w:r>
          </w:p>
        </w:tc>
        <w:tc>
          <w:tcPr>
            <w:tcW w:w="1785" w:type="dxa"/>
            <w:noWrap/>
          </w:tcPr>
          <w:p w14:paraId="7019AC88" w14:textId="09CA13E5" w:rsidR="00ED086B" w:rsidRPr="009F498B" w:rsidRDefault="00AB4842" w:rsidP="00ED086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18</w:t>
            </w:r>
          </w:p>
        </w:tc>
        <w:tc>
          <w:tcPr>
            <w:tcW w:w="1436" w:type="dxa"/>
            <w:noWrap/>
          </w:tcPr>
          <w:p w14:paraId="23FCE21B" w14:textId="04CD366A" w:rsidR="00ED086B" w:rsidRPr="009F498B" w:rsidRDefault="00AB4842" w:rsidP="00ED086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12</w:t>
            </w:r>
          </w:p>
        </w:tc>
      </w:tr>
    </w:tbl>
    <w:p w14:paraId="5C1267DF" w14:textId="01293087" w:rsidR="00560E96" w:rsidRPr="00E47562" w:rsidRDefault="00560E96" w:rsidP="00560E96">
      <w:pPr>
        <w:pStyle w:val="Bezproreda"/>
        <w:tabs>
          <w:tab w:val="left" w:pos="4406"/>
        </w:tabs>
        <w:spacing w:line="360" w:lineRule="auto"/>
        <w:ind w:left="720"/>
        <w:jc w:val="center"/>
        <w:rPr>
          <w:rFonts w:asciiTheme="majorHAnsi" w:hAnsiTheme="majorHAnsi" w:cstheme="majorHAnsi"/>
        </w:rPr>
      </w:pPr>
      <w:r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 xml:space="preserve">Izvor: Stručna služba LAG-a SAVA, </w:t>
      </w:r>
      <w:r w:rsidR="00240436">
        <w:rPr>
          <w:rFonts w:ascii="Calibri Light" w:hAnsi="Calibri Light" w:cs="Calibri Light"/>
          <w:i/>
          <w:iCs/>
          <w:color w:val="233F60"/>
          <w:sz w:val="20"/>
          <w:szCs w:val="20"/>
        </w:rPr>
        <w:t>studeni 2025</w:t>
      </w:r>
      <w:r w:rsidRPr="0050740D">
        <w:rPr>
          <w:rFonts w:ascii="Calibri Light" w:hAnsi="Calibri Light" w:cs="Calibri Light"/>
          <w:i/>
          <w:iCs/>
          <w:color w:val="233F60"/>
          <w:sz w:val="20"/>
          <w:szCs w:val="20"/>
        </w:rPr>
        <w:t>.</w:t>
      </w:r>
    </w:p>
    <w:p w14:paraId="60085918" w14:textId="77777777" w:rsidR="00ED086B" w:rsidRDefault="00ED086B" w:rsidP="009C0312">
      <w:pPr>
        <w:rPr>
          <w:rFonts w:asciiTheme="majorHAnsi" w:hAnsiTheme="majorHAnsi" w:cstheme="majorHAnsi"/>
          <w:b/>
          <w:bCs/>
        </w:rPr>
      </w:pPr>
    </w:p>
    <w:p w14:paraId="6522B2EA" w14:textId="6A9AC578" w:rsidR="00482A98" w:rsidRDefault="00482A98" w:rsidP="00482A98">
      <w:pPr>
        <w:pStyle w:val="Naslov1"/>
      </w:pPr>
      <w:bookmarkStart w:id="33" w:name="_Toc212823187"/>
      <w:proofErr w:type="spellStart"/>
      <w:r w:rsidRPr="00395039">
        <w:t>Podmjer</w:t>
      </w:r>
      <w:r>
        <w:t>a</w:t>
      </w:r>
      <w:proofErr w:type="spellEnd"/>
      <w:r w:rsidRPr="00395039">
        <w:t xml:space="preserve"> 19.3. »Priprema i provedba aktivnosti suradnje LAG-a«</w:t>
      </w:r>
      <w:bookmarkEnd w:id="33"/>
    </w:p>
    <w:p w14:paraId="1B76F1AE" w14:textId="77777777" w:rsidR="00482A98" w:rsidRDefault="00482A98" w:rsidP="00482A98">
      <w:pPr>
        <w:jc w:val="both"/>
      </w:pPr>
    </w:p>
    <w:p w14:paraId="79ADF974" w14:textId="38936DCA" w:rsidR="00FA55AA" w:rsidRPr="0050740D" w:rsidRDefault="00FA55AA" w:rsidP="00482A98">
      <w:pPr>
        <w:jc w:val="both"/>
      </w:pPr>
      <w:r w:rsidRPr="0050740D">
        <w:t>U evaluacijskom razdoblju proveden</w:t>
      </w:r>
      <w:r>
        <w:t xml:space="preserve">e su </w:t>
      </w:r>
      <w:r w:rsidRPr="0050740D">
        <w:t>pripremn</w:t>
      </w:r>
      <w:r>
        <w:t>e</w:t>
      </w:r>
      <w:r w:rsidRPr="0050740D">
        <w:t xml:space="preserve"> aktivnosti za provedbu </w:t>
      </w:r>
      <w:proofErr w:type="spellStart"/>
      <w:r w:rsidRPr="0050740D">
        <w:t>podmjere</w:t>
      </w:r>
      <w:proofErr w:type="spellEnd"/>
      <w:r>
        <w:t xml:space="preserve"> </w:t>
      </w:r>
      <w:r w:rsidRPr="0050740D">
        <w:t>19.3.</w:t>
      </w:r>
      <w:r>
        <w:t>,</w:t>
      </w:r>
      <w:r w:rsidRPr="0050740D">
        <w:t xml:space="preserve"> za jedan  projekt suradnje s nacionalnim partnerima koji se prov</w:t>
      </w:r>
      <w:r>
        <w:t>eo</w:t>
      </w:r>
      <w:r w:rsidRPr="0050740D">
        <w:t xml:space="preserve"> od 2020. do 2022. godine. </w:t>
      </w:r>
      <w:r>
        <w:t xml:space="preserve">Proveden je </w:t>
      </w:r>
      <w:r w:rsidR="00482A98">
        <w:t xml:space="preserve"> </w:t>
      </w:r>
      <w:r w:rsidR="00480920">
        <w:t>p</w:t>
      </w:r>
      <w:r>
        <w:t xml:space="preserve">rojekt pod nazivom ''Skrivena blaga ruralnog turizma''. Projekt je u potpunosti isplaćen 2024 godine. </w:t>
      </w:r>
    </w:p>
    <w:p w14:paraId="2247C6B6" w14:textId="77777777" w:rsidR="00FA55AA" w:rsidRDefault="00FA55AA" w:rsidP="00482A98">
      <w:pPr>
        <w:jc w:val="both"/>
      </w:pPr>
    </w:p>
    <w:p w14:paraId="369EF96D" w14:textId="77777777" w:rsidR="00FA55AA" w:rsidRPr="0050740D" w:rsidRDefault="00FA55AA" w:rsidP="00482A98">
      <w:pPr>
        <w:jc w:val="both"/>
      </w:pPr>
      <w:r w:rsidRPr="0050740D">
        <w:rPr>
          <w:u w:val="single"/>
        </w:rPr>
        <w:t>Projekt suradnje ''Skrivena blaga ruralnog turizma'':</w:t>
      </w:r>
      <w:r w:rsidRPr="0050740D">
        <w:t xml:space="preserve"> </w:t>
      </w:r>
    </w:p>
    <w:p w14:paraId="0BD3A51D" w14:textId="608ABE50" w:rsidR="00FA55AA" w:rsidRPr="0050740D" w:rsidRDefault="00FA55AA" w:rsidP="00482A98">
      <w:pPr>
        <w:jc w:val="both"/>
      </w:pPr>
      <w:r w:rsidRPr="0050740D">
        <w:t xml:space="preserve">Projektom </w:t>
      </w:r>
      <w:r w:rsidR="00480920">
        <w:t>se</w:t>
      </w:r>
      <w:r w:rsidRPr="0050740D">
        <w:t xml:space="preserve">  potica</w:t>
      </w:r>
      <w:r w:rsidR="00480920">
        <w:t xml:space="preserve">lo </w:t>
      </w:r>
      <w:r w:rsidRPr="0050740D">
        <w:t>inovacije u ruralnom turizmu kroz umrežavanje, prijenos znanja i međusektorsku suradnju u ruralnom području sjeverozapadne Hrvatske.</w:t>
      </w:r>
    </w:p>
    <w:p w14:paraId="51720D32" w14:textId="77777777" w:rsidR="00FA55AA" w:rsidRPr="0050740D" w:rsidRDefault="00FA55AA" w:rsidP="00482A98">
      <w:pPr>
        <w:jc w:val="both"/>
      </w:pPr>
    </w:p>
    <w:p w14:paraId="5483E028" w14:textId="77777777" w:rsidR="00AB4842" w:rsidRDefault="00FA55AA" w:rsidP="00482A98">
      <w:pPr>
        <w:jc w:val="both"/>
      </w:pPr>
      <w:r w:rsidRPr="0050740D">
        <w:t xml:space="preserve">Specifični ciljevi: </w:t>
      </w:r>
      <w:r w:rsidR="00AB4842">
        <w:t xml:space="preserve"> </w:t>
      </w:r>
    </w:p>
    <w:p w14:paraId="4FC5C39D" w14:textId="44FA61B9" w:rsidR="00FA55AA" w:rsidRPr="0050740D" w:rsidRDefault="00FA55AA" w:rsidP="00482A98">
      <w:pPr>
        <w:jc w:val="both"/>
      </w:pPr>
      <w:r w:rsidRPr="0050740D">
        <w:lastRenderedPageBreak/>
        <w:t>Jačati kapacitete LAG-ova za kreiranje lokalnih strategija razvoja u području ruralnog turizma te osigurati prijenos znanja na lokalno stanovništvo i postojeće ekonomske subjekte.</w:t>
      </w:r>
    </w:p>
    <w:p w14:paraId="70EE3074" w14:textId="77777777" w:rsidR="00FA55AA" w:rsidRPr="0050740D" w:rsidRDefault="00FA55AA" w:rsidP="00482A98">
      <w:pPr>
        <w:jc w:val="both"/>
      </w:pPr>
      <w:r w:rsidRPr="0050740D">
        <w:t>Promovirati lokalne destinacije korištenjem offline i online alata u svrhu inovativnog pristupa ruralnom turizmu te umrežiti destinacije u ruralnom području.</w:t>
      </w:r>
    </w:p>
    <w:p w14:paraId="7CC5CAD9" w14:textId="77777777" w:rsidR="00FA55AA" w:rsidRPr="0050740D" w:rsidRDefault="00FA55AA" w:rsidP="00482A98">
      <w:pPr>
        <w:jc w:val="both"/>
      </w:pPr>
      <w:r w:rsidRPr="0050740D">
        <w:t>Ojačati međusektorsku suradnju u području ruralnog turizma kroz razmjenu iskustava i primjera dobre prakse.</w:t>
      </w:r>
    </w:p>
    <w:p w14:paraId="4B03D8A6" w14:textId="77777777" w:rsidR="00FA55AA" w:rsidRPr="0050740D" w:rsidRDefault="00FA55AA" w:rsidP="00482A98">
      <w:pPr>
        <w:jc w:val="both"/>
      </w:pPr>
    </w:p>
    <w:p w14:paraId="6D9B2ED8" w14:textId="7D718CBD" w:rsidR="00FA55AA" w:rsidRPr="0050740D" w:rsidRDefault="00FA55AA" w:rsidP="00482A98">
      <w:pPr>
        <w:jc w:val="both"/>
      </w:pPr>
      <w:r w:rsidRPr="0050740D">
        <w:t>Projekt u partnerstvu prov</w:t>
      </w:r>
      <w:r w:rsidR="00480920">
        <w:t>eli su</w:t>
      </w:r>
      <w:r w:rsidRPr="0050740D">
        <w:t xml:space="preserve"> LAG-ovi s područja Hrvatskog zagorja, Prigorja i Međimurja u svrhu učenja i širenja dobrih praksi između hrvatskih regija na području razvoja ruralnog turizma. </w:t>
      </w:r>
    </w:p>
    <w:p w14:paraId="0E9CF759" w14:textId="77777777" w:rsidR="00482A98" w:rsidRDefault="00482A98" w:rsidP="00482A98">
      <w:pPr>
        <w:pStyle w:val="Naslov1"/>
      </w:pPr>
      <w:bookmarkStart w:id="34" w:name="_Toc212823188"/>
      <w:proofErr w:type="spellStart"/>
      <w:r w:rsidRPr="00395039">
        <w:t>Podmjer</w:t>
      </w:r>
      <w:r>
        <w:t>a</w:t>
      </w:r>
      <w:proofErr w:type="spellEnd"/>
      <w:r w:rsidRPr="00395039">
        <w:t xml:space="preserve"> 19.4. »Tekući troškovi i animacija«</w:t>
      </w:r>
      <w:bookmarkEnd w:id="34"/>
    </w:p>
    <w:p w14:paraId="5D7FEB3D" w14:textId="08311ED5" w:rsidR="00FA55AA" w:rsidRPr="0050740D" w:rsidRDefault="00FA55AA" w:rsidP="00482A98">
      <w:pPr>
        <w:jc w:val="both"/>
      </w:pPr>
      <w:proofErr w:type="spellStart"/>
      <w:r w:rsidRPr="0050740D">
        <w:t>Podmjera</w:t>
      </w:r>
      <w:proofErr w:type="spellEnd"/>
      <w:r w:rsidRPr="0050740D">
        <w:t xml:space="preserve"> 19.4. provod</w:t>
      </w:r>
      <w:r w:rsidR="00480920">
        <w:t>i</w:t>
      </w:r>
      <w:r>
        <w:t>la</w:t>
      </w:r>
      <w:r w:rsidRPr="0050740D">
        <w:t xml:space="preserve"> se uspješno od početka provedbe projekta te </w:t>
      </w:r>
      <w:r>
        <w:t xml:space="preserve">su </w:t>
      </w:r>
      <w:r w:rsidRPr="0050740D">
        <w:t>se putem nje</w:t>
      </w:r>
      <w:r w:rsidR="00482A98">
        <w:t xml:space="preserve"> n</w:t>
      </w:r>
      <w:r w:rsidRPr="0050740D">
        <w:t>amir</w:t>
      </w:r>
      <w:r>
        <w:t>ivali</w:t>
      </w:r>
      <w:r w:rsidRPr="0050740D">
        <w:t xml:space="preserve"> tekući troškovi koji se najvećim dijelom odnose na plaće zaposlenica, plaćanje najma ureda i knjigovodstvenog servisa. Do kraja 202</w:t>
      </w:r>
      <w:r w:rsidR="00AE5EC4">
        <w:t>3</w:t>
      </w:r>
      <w:r w:rsidRPr="0050740D">
        <w:t xml:space="preserve">. godine LAG je podnio </w:t>
      </w:r>
      <w:r>
        <w:t>27</w:t>
      </w:r>
      <w:r w:rsidRPr="0050740D">
        <w:t xml:space="preserve"> Zahtjeva za isplatu a </w:t>
      </w:r>
      <w:r w:rsidR="00EB7FC9">
        <w:t xml:space="preserve">početkom 2024. godine isplaćen je zadnji 27. </w:t>
      </w:r>
      <w:proofErr w:type="spellStart"/>
      <w:r w:rsidR="00EB7FC9">
        <w:t>ZZI</w:t>
      </w:r>
      <w:proofErr w:type="spellEnd"/>
      <w:r w:rsidR="00EB7FC9">
        <w:t xml:space="preserve"> čime su iskorištena sva sredstva za rad LAG-a.</w:t>
      </w:r>
      <w:r w:rsidRPr="0050740D">
        <w:t xml:space="preserve"> </w:t>
      </w:r>
    </w:p>
    <w:p w14:paraId="638E19C8" w14:textId="77777777" w:rsidR="00FA55AA" w:rsidRDefault="00FA55AA" w:rsidP="00482A98">
      <w:pPr>
        <w:pStyle w:val="Naslov1"/>
      </w:pPr>
    </w:p>
    <w:p w14:paraId="35A96069" w14:textId="4B442A63" w:rsidR="00EB7FC9" w:rsidRDefault="00EB7FC9" w:rsidP="00482A98">
      <w:pPr>
        <w:pStyle w:val="Naslov1"/>
      </w:pPr>
      <w:bookmarkStart w:id="35" w:name="_Toc212823189"/>
      <w:r>
        <w:t>ZAKLJUČAK</w:t>
      </w:r>
      <w:bookmarkEnd w:id="35"/>
    </w:p>
    <w:p w14:paraId="549B1C66" w14:textId="6DE0BB48" w:rsidR="00EB7FC9" w:rsidRPr="00977D09" w:rsidRDefault="00EB7FC9" w:rsidP="00977D09">
      <w:pPr>
        <w:jc w:val="both"/>
        <w:rPr>
          <w:rFonts w:asciiTheme="majorHAnsi" w:hAnsiTheme="majorHAnsi" w:cstheme="majorHAnsi"/>
        </w:rPr>
      </w:pPr>
      <w:r w:rsidRPr="00977D09">
        <w:rPr>
          <w:rFonts w:asciiTheme="majorHAnsi" w:hAnsiTheme="majorHAnsi" w:cstheme="majorHAnsi"/>
        </w:rPr>
        <w:t>Analizom podataka može se zaključiti kako je provedba LRS LAG</w:t>
      </w:r>
      <w:r w:rsidR="00482A98">
        <w:rPr>
          <w:rFonts w:asciiTheme="majorHAnsi" w:hAnsiTheme="majorHAnsi" w:cstheme="majorHAnsi"/>
        </w:rPr>
        <w:t>-</w:t>
      </w:r>
      <w:r w:rsidRPr="00977D09">
        <w:rPr>
          <w:rFonts w:asciiTheme="majorHAnsi" w:hAnsiTheme="majorHAnsi" w:cstheme="majorHAnsi"/>
        </w:rPr>
        <w:t xml:space="preserve">a SAVA za razdoblje 2014-2020 (i prijelazno razdoblje 2021 i 2022. i više no </w:t>
      </w:r>
      <w:r w:rsidR="00977D09" w:rsidRPr="00977D09">
        <w:rPr>
          <w:rFonts w:asciiTheme="majorHAnsi" w:hAnsiTheme="majorHAnsi" w:cstheme="majorHAnsi"/>
        </w:rPr>
        <w:t>uspješna</w:t>
      </w:r>
      <w:r w:rsidRPr="00977D09">
        <w:rPr>
          <w:rFonts w:asciiTheme="majorHAnsi" w:hAnsiTheme="majorHAnsi" w:cstheme="majorHAnsi"/>
        </w:rPr>
        <w:t>.</w:t>
      </w:r>
    </w:p>
    <w:p w14:paraId="0E7572B5" w14:textId="1402B0CB" w:rsidR="00EB7FC9" w:rsidRDefault="00EB7FC9" w:rsidP="00977D09">
      <w:pPr>
        <w:jc w:val="both"/>
        <w:rPr>
          <w:rFonts w:asciiTheme="majorHAnsi" w:hAnsiTheme="majorHAnsi" w:cstheme="majorHAnsi"/>
        </w:rPr>
      </w:pPr>
      <w:r w:rsidRPr="00977D09">
        <w:rPr>
          <w:rFonts w:asciiTheme="majorHAnsi" w:hAnsiTheme="majorHAnsi" w:cstheme="majorHAnsi"/>
        </w:rPr>
        <w:t xml:space="preserve">U Tablici 5 . vidljivo je kako je LAG raspisao sva sredstva koja su mu bila alocirana. Što se same provedbe projekata tiče, </w:t>
      </w:r>
      <w:r w:rsidR="00480920">
        <w:rPr>
          <w:rFonts w:asciiTheme="majorHAnsi" w:hAnsiTheme="majorHAnsi" w:cstheme="majorHAnsi"/>
        </w:rPr>
        <w:t xml:space="preserve">svi projekti su </w:t>
      </w:r>
      <w:r w:rsidR="00AB4842">
        <w:rPr>
          <w:rFonts w:asciiTheme="majorHAnsi" w:hAnsiTheme="majorHAnsi" w:cstheme="majorHAnsi"/>
        </w:rPr>
        <w:t>završeni</w:t>
      </w:r>
      <w:r w:rsidR="00480920">
        <w:rPr>
          <w:rFonts w:asciiTheme="majorHAnsi" w:hAnsiTheme="majorHAnsi" w:cstheme="majorHAnsi"/>
        </w:rPr>
        <w:t xml:space="preserve">. Od svih odobrenih projekata za dva projekta malih poljoprivrednika zatražen je povrat sredstava te je jedan prijavitelj samostalno odustao od projekta. Razlika između </w:t>
      </w:r>
      <w:r w:rsidR="001641AF">
        <w:rPr>
          <w:rFonts w:asciiTheme="majorHAnsi" w:hAnsiTheme="majorHAnsi" w:cstheme="majorHAnsi"/>
        </w:rPr>
        <w:t xml:space="preserve">dodijeljenih sredstava LAG-a te konačno isplaćenih iznosi 51.128,31 EUR-a. </w:t>
      </w:r>
    </w:p>
    <w:tbl>
      <w:tblPr>
        <w:tblW w:w="5700" w:type="dxa"/>
        <w:tblLook w:val="04A0" w:firstRow="1" w:lastRow="0" w:firstColumn="1" w:lastColumn="0" w:noHBand="0" w:noVBand="1"/>
      </w:tblPr>
      <w:tblGrid>
        <w:gridCol w:w="3520"/>
        <w:gridCol w:w="2180"/>
      </w:tblGrid>
      <w:tr w:rsidR="001641AF" w:rsidRPr="001641AF" w14:paraId="641EB4A9" w14:textId="77777777" w:rsidTr="001641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4E4736" w14:textId="77777777" w:rsidR="001641AF" w:rsidRPr="001641AF" w:rsidRDefault="001641AF" w:rsidP="00164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Ukupno raspisana sredstva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0EB411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1.727.451,08</w:t>
            </w:r>
          </w:p>
        </w:tc>
      </w:tr>
      <w:tr w:rsidR="001641AF" w:rsidRPr="001641AF" w14:paraId="5DF103E3" w14:textId="77777777" w:rsidTr="001641AF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0591FD" w14:textId="77777777" w:rsidR="001641AF" w:rsidRPr="001641AF" w:rsidRDefault="001641AF" w:rsidP="00164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Ukupno isplaćena sredstva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BE3B2D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1.623.243,22</w:t>
            </w:r>
          </w:p>
        </w:tc>
      </w:tr>
      <w:tr w:rsidR="001641AF" w:rsidRPr="001641AF" w14:paraId="14F2169F" w14:textId="77777777" w:rsidTr="001641AF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2F13CE" w14:textId="77777777" w:rsidR="001641AF" w:rsidRPr="001641AF" w:rsidRDefault="001641AF" w:rsidP="00164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Ukupno ugovoreno za 19.2 (ugovor)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176E5F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1.674.371,53</w:t>
            </w:r>
          </w:p>
        </w:tc>
      </w:tr>
      <w:tr w:rsidR="001641AF" w:rsidRPr="001641AF" w14:paraId="4103B192" w14:textId="77777777" w:rsidTr="001641AF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5A8FA8" w14:textId="77777777" w:rsidR="001641AF" w:rsidRPr="001641AF" w:rsidRDefault="001641AF" w:rsidP="00164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Razlika-neiskorištena sredstva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B45D4DA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-51.128,31</w:t>
            </w:r>
          </w:p>
        </w:tc>
      </w:tr>
      <w:tr w:rsidR="001641AF" w:rsidRPr="001641AF" w14:paraId="34FE6E79" w14:textId="77777777" w:rsidTr="001641AF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C009FA" w14:textId="77777777" w:rsidR="001641AF" w:rsidRPr="001641AF" w:rsidRDefault="001641AF" w:rsidP="00164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% neiskorištenosti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4B90C9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-3,05%</w:t>
            </w:r>
          </w:p>
        </w:tc>
      </w:tr>
      <w:tr w:rsidR="001641AF" w:rsidRPr="001641AF" w14:paraId="121D8E89" w14:textId="77777777" w:rsidTr="001641AF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6FED383F" w14:textId="77777777" w:rsidR="001641AF" w:rsidRPr="001641AF" w:rsidRDefault="001641AF" w:rsidP="00164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A93C5F0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</w:tbl>
    <w:p w14:paraId="0D6DA0D0" w14:textId="77777777" w:rsidR="001641AF" w:rsidRDefault="001641AF" w:rsidP="00977D09">
      <w:pPr>
        <w:jc w:val="both"/>
        <w:rPr>
          <w:rFonts w:asciiTheme="majorHAnsi" w:hAnsiTheme="majorHAnsi" w:cstheme="majorHAnsi"/>
        </w:rPr>
      </w:pPr>
    </w:p>
    <w:tbl>
      <w:tblPr>
        <w:tblW w:w="5700" w:type="dxa"/>
        <w:tblLook w:val="04A0" w:firstRow="1" w:lastRow="0" w:firstColumn="1" w:lastColumn="0" w:noHBand="0" w:noVBand="1"/>
      </w:tblPr>
      <w:tblGrid>
        <w:gridCol w:w="3999"/>
        <w:gridCol w:w="1701"/>
      </w:tblGrid>
      <w:tr w:rsidR="001641AF" w:rsidRPr="001641AF" w14:paraId="13BD507D" w14:textId="77777777" w:rsidTr="001641AF">
        <w:trPr>
          <w:trHeight w:val="300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A1AED7" w14:textId="77777777" w:rsidR="001641AF" w:rsidRPr="001641AF" w:rsidRDefault="001641AF" w:rsidP="00164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Ukupno 6.3.</w:t>
            </w:r>
          </w:p>
        </w:tc>
      </w:tr>
      <w:tr w:rsidR="001641AF" w:rsidRPr="001641AF" w14:paraId="35866A71" w14:textId="77777777" w:rsidTr="001641AF">
        <w:trPr>
          <w:trHeight w:val="30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91D7" w14:textId="77777777" w:rsidR="001641AF" w:rsidRPr="001641AF" w:rsidRDefault="001641AF" w:rsidP="00164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DB6C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800.700,42</w:t>
            </w:r>
          </w:p>
        </w:tc>
      </w:tr>
      <w:tr w:rsidR="001641AF" w:rsidRPr="001641AF" w14:paraId="6BBB407C" w14:textId="77777777" w:rsidTr="001641AF">
        <w:trPr>
          <w:trHeight w:val="30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5156" w14:textId="77777777" w:rsidR="001641AF" w:rsidRPr="001641AF" w:rsidRDefault="001641AF" w:rsidP="00164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Konačno isplaćeno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1361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763.064,06</w:t>
            </w:r>
          </w:p>
        </w:tc>
      </w:tr>
      <w:tr w:rsidR="001641AF" w:rsidRPr="001641AF" w14:paraId="03215D2F" w14:textId="77777777" w:rsidTr="001641AF">
        <w:trPr>
          <w:trHeight w:val="30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5CEF5" w14:textId="77777777" w:rsidR="001641AF" w:rsidRPr="001641AF" w:rsidRDefault="001641AF" w:rsidP="00164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razlika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54DC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-37.636,36</w:t>
            </w:r>
          </w:p>
        </w:tc>
      </w:tr>
      <w:tr w:rsidR="001641AF" w:rsidRPr="001641AF" w14:paraId="0B105B7D" w14:textId="77777777" w:rsidTr="001641AF">
        <w:trPr>
          <w:trHeight w:val="30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07EB6" w14:textId="77777777" w:rsidR="001641AF" w:rsidRPr="001641AF" w:rsidRDefault="001641AF" w:rsidP="00164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% neiskorištenih sredstava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CD28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-4,70%</w:t>
            </w:r>
          </w:p>
        </w:tc>
      </w:tr>
      <w:tr w:rsidR="001641AF" w:rsidRPr="001641AF" w14:paraId="0F9C55D5" w14:textId="77777777" w:rsidTr="001641AF">
        <w:trPr>
          <w:trHeight w:val="300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89BA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6AB4" w14:textId="77777777" w:rsidR="001641AF" w:rsidRPr="001641AF" w:rsidRDefault="001641AF" w:rsidP="001641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41AF" w:rsidRPr="001641AF" w14:paraId="32B85653" w14:textId="77777777" w:rsidTr="001641AF">
        <w:trPr>
          <w:trHeight w:val="300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958911" w14:textId="77777777" w:rsidR="001641AF" w:rsidRPr="001641AF" w:rsidRDefault="001641AF" w:rsidP="00164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Ukupno 4.1.</w:t>
            </w:r>
          </w:p>
        </w:tc>
      </w:tr>
      <w:tr w:rsidR="001641AF" w:rsidRPr="001641AF" w14:paraId="3A40B1C5" w14:textId="77777777" w:rsidTr="001641AF">
        <w:trPr>
          <w:trHeight w:val="30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7F73" w14:textId="77777777" w:rsidR="001641AF" w:rsidRPr="001641AF" w:rsidRDefault="001641AF" w:rsidP="00164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3BB0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274.686,17</w:t>
            </w:r>
          </w:p>
        </w:tc>
      </w:tr>
      <w:tr w:rsidR="001641AF" w:rsidRPr="001641AF" w14:paraId="791697D1" w14:textId="77777777" w:rsidTr="001641AF">
        <w:trPr>
          <w:trHeight w:val="30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9C72" w14:textId="77777777" w:rsidR="001641AF" w:rsidRPr="001641AF" w:rsidRDefault="001641AF" w:rsidP="00164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Konačno isplaćeno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9F00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261.592,55</w:t>
            </w:r>
          </w:p>
        </w:tc>
      </w:tr>
      <w:tr w:rsidR="001641AF" w:rsidRPr="001641AF" w14:paraId="5A652629" w14:textId="77777777" w:rsidTr="001641AF">
        <w:trPr>
          <w:trHeight w:val="30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B1E70" w14:textId="77777777" w:rsidR="001641AF" w:rsidRPr="001641AF" w:rsidRDefault="001641AF" w:rsidP="00164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razlika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B614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-13.093,62</w:t>
            </w:r>
          </w:p>
        </w:tc>
      </w:tr>
      <w:tr w:rsidR="001641AF" w:rsidRPr="001641AF" w14:paraId="6FEF5081" w14:textId="77777777" w:rsidTr="001641AF">
        <w:trPr>
          <w:trHeight w:val="30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C756" w14:textId="77777777" w:rsidR="001641AF" w:rsidRPr="001641AF" w:rsidRDefault="001641AF" w:rsidP="00164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% neiskorištenih sredstava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2348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-4,77%</w:t>
            </w:r>
          </w:p>
        </w:tc>
      </w:tr>
      <w:tr w:rsidR="001641AF" w:rsidRPr="001641AF" w14:paraId="2B681DF0" w14:textId="77777777" w:rsidTr="001641AF">
        <w:trPr>
          <w:trHeight w:val="300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4C6A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0598B" w14:textId="77777777" w:rsidR="001641AF" w:rsidRPr="001641AF" w:rsidRDefault="001641AF" w:rsidP="001641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41AF" w:rsidRPr="001641AF" w14:paraId="4BCA4053" w14:textId="77777777" w:rsidTr="001641AF">
        <w:trPr>
          <w:trHeight w:val="300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513E27" w14:textId="77777777" w:rsidR="001641AF" w:rsidRPr="001641AF" w:rsidRDefault="001641AF" w:rsidP="00164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Ukupno 6.4.</w:t>
            </w:r>
          </w:p>
        </w:tc>
      </w:tr>
      <w:tr w:rsidR="001641AF" w:rsidRPr="001641AF" w14:paraId="7C9EAA25" w14:textId="77777777" w:rsidTr="001641AF">
        <w:trPr>
          <w:trHeight w:val="30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880C" w14:textId="77777777" w:rsidR="001641AF" w:rsidRPr="001641AF" w:rsidRDefault="001641AF" w:rsidP="00164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EA4F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100.230,94</w:t>
            </w:r>
          </w:p>
        </w:tc>
      </w:tr>
      <w:tr w:rsidR="001641AF" w:rsidRPr="001641AF" w14:paraId="6F233166" w14:textId="77777777" w:rsidTr="001641AF">
        <w:trPr>
          <w:trHeight w:val="30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3849" w14:textId="77777777" w:rsidR="001641AF" w:rsidRPr="001641AF" w:rsidRDefault="001641AF" w:rsidP="00164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Konačno isplaćeno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49A0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99.749,16</w:t>
            </w:r>
          </w:p>
        </w:tc>
      </w:tr>
      <w:tr w:rsidR="001641AF" w:rsidRPr="001641AF" w14:paraId="3BB66C89" w14:textId="77777777" w:rsidTr="001641AF">
        <w:trPr>
          <w:trHeight w:val="30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11B0" w14:textId="77777777" w:rsidR="001641AF" w:rsidRPr="001641AF" w:rsidRDefault="001641AF" w:rsidP="00164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razlika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69EC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-481,78</w:t>
            </w:r>
          </w:p>
        </w:tc>
      </w:tr>
      <w:tr w:rsidR="001641AF" w:rsidRPr="001641AF" w14:paraId="68B79DA9" w14:textId="77777777" w:rsidTr="001641AF">
        <w:trPr>
          <w:trHeight w:val="30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8987" w14:textId="77777777" w:rsidR="001641AF" w:rsidRPr="001641AF" w:rsidRDefault="001641AF" w:rsidP="00164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% neiskorištenih sredstava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DE02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-0,48%</w:t>
            </w:r>
          </w:p>
        </w:tc>
      </w:tr>
      <w:tr w:rsidR="001641AF" w:rsidRPr="001641AF" w14:paraId="2326F64B" w14:textId="77777777" w:rsidTr="001641AF">
        <w:trPr>
          <w:trHeight w:val="30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77DF8" w14:textId="77777777" w:rsidR="001641AF" w:rsidRPr="001641AF" w:rsidRDefault="001641AF" w:rsidP="00164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85F26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1641AF" w:rsidRPr="001641AF" w14:paraId="507C6380" w14:textId="77777777" w:rsidTr="001641AF">
        <w:trPr>
          <w:trHeight w:val="300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3B8E" w14:textId="77777777" w:rsid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1B30FE0E" w14:textId="77777777" w:rsid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29044D45" w14:textId="77777777" w:rsid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366BACAC" w14:textId="77777777" w:rsid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6728394E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6E7C9" w14:textId="77777777" w:rsidR="001641AF" w:rsidRDefault="001641AF" w:rsidP="001641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BC43D80" w14:textId="77777777" w:rsidR="006521A0" w:rsidRDefault="006521A0" w:rsidP="001641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38BDC02" w14:textId="77777777" w:rsidR="006521A0" w:rsidRDefault="006521A0" w:rsidP="001641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089F032" w14:textId="77777777" w:rsidR="006521A0" w:rsidRDefault="006521A0" w:rsidP="001641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9A7F868" w14:textId="77777777" w:rsidR="006521A0" w:rsidRDefault="006521A0" w:rsidP="001641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D2B482B" w14:textId="77777777" w:rsidR="006521A0" w:rsidRPr="001641AF" w:rsidRDefault="006521A0" w:rsidP="001641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41AF" w:rsidRPr="001641AF" w14:paraId="1B3D37D0" w14:textId="77777777" w:rsidTr="001641AF">
        <w:trPr>
          <w:trHeight w:val="300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020316" w14:textId="77777777" w:rsidR="001641AF" w:rsidRPr="001641AF" w:rsidRDefault="001641AF" w:rsidP="00164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Ukupno 7.4.</w:t>
            </w:r>
          </w:p>
        </w:tc>
      </w:tr>
      <w:tr w:rsidR="001641AF" w:rsidRPr="001641AF" w14:paraId="787BD62C" w14:textId="77777777" w:rsidTr="001641AF">
        <w:trPr>
          <w:trHeight w:val="30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2F1B8" w14:textId="77777777" w:rsidR="001641AF" w:rsidRPr="001641AF" w:rsidRDefault="001641AF" w:rsidP="00164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FDA71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516.555,17</w:t>
            </w:r>
          </w:p>
        </w:tc>
      </w:tr>
      <w:tr w:rsidR="001641AF" w:rsidRPr="001641AF" w14:paraId="3675BEB3" w14:textId="77777777" w:rsidTr="001641AF">
        <w:trPr>
          <w:trHeight w:val="30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4DDF" w14:textId="77777777" w:rsidR="001641AF" w:rsidRPr="001641AF" w:rsidRDefault="001641AF" w:rsidP="00164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Konačno isplaćeno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2F78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498.837,45</w:t>
            </w:r>
          </w:p>
        </w:tc>
      </w:tr>
      <w:tr w:rsidR="001641AF" w:rsidRPr="001641AF" w14:paraId="1E83FCD4" w14:textId="77777777" w:rsidTr="001641AF">
        <w:trPr>
          <w:trHeight w:val="30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1A407" w14:textId="77777777" w:rsidR="001641AF" w:rsidRPr="001641AF" w:rsidRDefault="001641AF" w:rsidP="00164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razlika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99ED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-17.717,72</w:t>
            </w:r>
          </w:p>
        </w:tc>
      </w:tr>
      <w:tr w:rsidR="001641AF" w:rsidRPr="001641AF" w14:paraId="33B5D50E" w14:textId="77777777" w:rsidTr="001641AF">
        <w:trPr>
          <w:trHeight w:val="30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21CA" w14:textId="77777777" w:rsidR="001641AF" w:rsidRPr="001641AF" w:rsidRDefault="001641AF" w:rsidP="00164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% neiskorištenih sredstava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14E2" w14:textId="77777777" w:rsidR="001641AF" w:rsidRPr="001641AF" w:rsidRDefault="001641AF" w:rsidP="00164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641A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-3,43%</w:t>
            </w:r>
          </w:p>
        </w:tc>
      </w:tr>
    </w:tbl>
    <w:p w14:paraId="65E3424B" w14:textId="77777777" w:rsidR="001641AF" w:rsidRDefault="001641AF" w:rsidP="00977D09">
      <w:pPr>
        <w:jc w:val="both"/>
        <w:rPr>
          <w:rFonts w:asciiTheme="majorHAnsi" w:hAnsiTheme="majorHAnsi" w:cstheme="majorHAnsi"/>
          <w:b/>
          <w:bCs/>
        </w:rPr>
      </w:pPr>
    </w:p>
    <w:p w14:paraId="3EB5615A" w14:textId="34DBE7E9" w:rsidR="001641AF" w:rsidRPr="001641AF" w:rsidRDefault="001641AF" w:rsidP="00977D09">
      <w:pPr>
        <w:jc w:val="both"/>
        <w:rPr>
          <w:rFonts w:asciiTheme="majorHAnsi" w:hAnsiTheme="majorHAnsi" w:cstheme="majorHAnsi"/>
        </w:rPr>
      </w:pPr>
      <w:r w:rsidRPr="001641AF">
        <w:rPr>
          <w:rFonts w:asciiTheme="majorHAnsi" w:hAnsiTheme="majorHAnsi" w:cstheme="majorHAnsi"/>
        </w:rPr>
        <w:t>Sve osim neiskorištenih sredstava unutar TO. Sukladnog s TO 6.3. odnosi se na financijske korekcije kod provedbe dok se iznos od 37.636,36 EUR-a odnosi na jedan projekt od čije provedbe je korisnik odustao te dva projekta gdje je Agencija od korisnika zatražila povrat sredstava.</w:t>
      </w:r>
    </w:p>
    <w:p w14:paraId="6F095DD4" w14:textId="12232B09" w:rsidR="00EB7FC9" w:rsidRPr="00977D09" w:rsidRDefault="001641AF" w:rsidP="00977D0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Postotak</w:t>
      </w:r>
      <w:r w:rsidR="00B13DA2" w:rsidRPr="00977D09">
        <w:rPr>
          <w:rFonts w:asciiTheme="majorHAnsi" w:hAnsiTheme="majorHAnsi" w:cstheme="majorHAnsi"/>
        </w:rPr>
        <w:t xml:space="preserve"> uspješnosti </w:t>
      </w:r>
      <w:proofErr w:type="spellStart"/>
      <w:r w:rsidR="00B13DA2" w:rsidRPr="00977D09">
        <w:rPr>
          <w:rFonts w:asciiTheme="majorHAnsi" w:hAnsiTheme="majorHAnsi" w:cstheme="majorHAnsi"/>
        </w:rPr>
        <w:t>podmjere</w:t>
      </w:r>
      <w:proofErr w:type="spellEnd"/>
      <w:r w:rsidR="00B13DA2" w:rsidRPr="00977D09">
        <w:rPr>
          <w:rFonts w:asciiTheme="majorHAnsi" w:hAnsiTheme="majorHAnsi" w:cstheme="majorHAnsi"/>
        </w:rPr>
        <w:t xml:space="preserve"> </w:t>
      </w:r>
      <w:r w:rsidR="00D52EB9">
        <w:rPr>
          <w:rFonts w:asciiTheme="majorHAnsi" w:hAnsiTheme="majorHAnsi" w:cstheme="majorHAnsi"/>
        </w:rPr>
        <w:t>19.2</w:t>
      </w:r>
      <w:r w:rsidR="00AC15FE">
        <w:rPr>
          <w:rFonts w:asciiTheme="majorHAnsi" w:hAnsiTheme="majorHAnsi" w:cstheme="majorHAnsi"/>
        </w:rPr>
        <w:t>.</w:t>
      </w:r>
      <w:r w:rsidR="00B13DA2" w:rsidRPr="00977D0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iznosi</w:t>
      </w:r>
      <w:r w:rsidR="00B13DA2" w:rsidRPr="00977D0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96,95</w:t>
      </w:r>
      <w:r w:rsidR="00B13DA2" w:rsidRPr="00977D09">
        <w:rPr>
          <w:rFonts w:asciiTheme="majorHAnsi" w:hAnsiTheme="majorHAnsi" w:cstheme="majorHAnsi"/>
        </w:rPr>
        <w:t>%</w:t>
      </w:r>
      <w:r>
        <w:rPr>
          <w:rFonts w:asciiTheme="majorHAnsi" w:hAnsiTheme="majorHAnsi" w:cstheme="majorHAnsi"/>
        </w:rPr>
        <w:t>.</w:t>
      </w:r>
      <w:r w:rsidR="00B13DA2" w:rsidRPr="00977D09">
        <w:rPr>
          <w:rFonts w:asciiTheme="majorHAnsi" w:hAnsiTheme="majorHAnsi" w:cstheme="majorHAnsi"/>
        </w:rPr>
        <w:t xml:space="preserve"> </w:t>
      </w:r>
    </w:p>
    <w:p w14:paraId="5061794C" w14:textId="4645076E" w:rsidR="001641AF" w:rsidRDefault="00B13DA2" w:rsidP="00977D09">
      <w:pPr>
        <w:jc w:val="both"/>
        <w:rPr>
          <w:rFonts w:asciiTheme="majorHAnsi" w:hAnsiTheme="majorHAnsi" w:cstheme="majorHAnsi"/>
        </w:rPr>
      </w:pPr>
      <w:r w:rsidRPr="00977D09">
        <w:rPr>
          <w:rFonts w:asciiTheme="majorHAnsi" w:hAnsiTheme="majorHAnsi" w:cstheme="majorHAnsi"/>
        </w:rPr>
        <w:t>Ono što je radi financijskih korekcija izgubljeno tj</w:t>
      </w:r>
      <w:r w:rsidR="00AB4842">
        <w:rPr>
          <w:rFonts w:asciiTheme="majorHAnsi" w:hAnsiTheme="majorHAnsi" w:cstheme="majorHAnsi"/>
        </w:rPr>
        <w:t>.</w:t>
      </w:r>
      <w:r w:rsidRPr="00977D09">
        <w:rPr>
          <w:rFonts w:asciiTheme="majorHAnsi" w:hAnsiTheme="majorHAnsi" w:cstheme="majorHAnsi"/>
        </w:rPr>
        <w:t xml:space="preserve"> postotak uspješnosti provedbe je 83% je projekt suradnje na kojem je LAG uslijed financijskih korekcija kod provođenja javne nabave pretrpio financijske korekcije. </w:t>
      </w:r>
    </w:p>
    <w:p w14:paraId="1DB77E04" w14:textId="105B0A6D" w:rsidR="00B13DA2" w:rsidRPr="00AB4842" w:rsidRDefault="00B13DA2" w:rsidP="00977D09">
      <w:pPr>
        <w:jc w:val="both"/>
        <w:rPr>
          <w:rFonts w:asciiTheme="majorHAnsi" w:hAnsiTheme="majorHAnsi" w:cstheme="majorHAnsi"/>
          <w:b/>
          <w:bCs/>
        </w:rPr>
      </w:pPr>
      <w:r w:rsidRPr="00AB4842">
        <w:rPr>
          <w:rFonts w:asciiTheme="majorHAnsi" w:hAnsiTheme="majorHAnsi" w:cstheme="majorHAnsi"/>
          <w:b/>
          <w:bCs/>
        </w:rPr>
        <w:t xml:space="preserve">Ukupni postotak uspješnosti visokih je </w:t>
      </w:r>
      <w:r w:rsidR="001641AF" w:rsidRPr="00AB4842">
        <w:rPr>
          <w:rFonts w:asciiTheme="majorHAnsi" w:hAnsiTheme="majorHAnsi" w:cstheme="majorHAnsi"/>
          <w:b/>
          <w:bCs/>
        </w:rPr>
        <w:t>97,21</w:t>
      </w:r>
      <w:r w:rsidRPr="00AB4842">
        <w:rPr>
          <w:rFonts w:asciiTheme="majorHAnsi" w:hAnsiTheme="majorHAnsi" w:cstheme="majorHAnsi"/>
          <w:b/>
          <w:bCs/>
        </w:rPr>
        <w:t xml:space="preserve">% </w:t>
      </w:r>
      <w:r w:rsidR="001641AF" w:rsidRPr="00AB4842">
        <w:rPr>
          <w:rFonts w:asciiTheme="majorHAnsi" w:hAnsiTheme="majorHAnsi" w:cstheme="majorHAnsi"/>
          <w:b/>
          <w:bCs/>
        </w:rPr>
        <w:t>.</w:t>
      </w:r>
    </w:p>
    <w:p w14:paraId="12A02892" w14:textId="721E2CDB" w:rsidR="00977D09" w:rsidRPr="00977D09" w:rsidRDefault="00977D09" w:rsidP="00977D09">
      <w:pPr>
        <w:jc w:val="both"/>
        <w:rPr>
          <w:rFonts w:asciiTheme="majorHAnsi" w:hAnsiTheme="majorHAnsi" w:cstheme="majorHAnsi"/>
        </w:rPr>
      </w:pPr>
      <w:r w:rsidRPr="00977D09">
        <w:rPr>
          <w:rFonts w:asciiTheme="majorHAnsi" w:hAnsiTheme="majorHAnsi" w:cstheme="majorHAnsi"/>
        </w:rPr>
        <w:t>Najviše projekata uključivao je ulaganje u mehanizaciju, njih</w:t>
      </w:r>
      <w:r w:rsidR="00AB4842">
        <w:rPr>
          <w:rFonts w:asciiTheme="majorHAnsi" w:hAnsiTheme="majorHAnsi" w:cstheme="majorHAnsi"/>
        </w:rPr>
        <w:t xml:space="preserve"> 66</w:t>
      </w:r>
      <w:r w:rsidRPr="00977D09">
        <w:rPr>
          <w:rFonts w:asciiTheme="majorHAnsi" w:hAnsiTheme="majorHAnsi" w:cstheme="majorHAnsi"/>
        </w:rPr>
        <w:t xml:space="preserve">. </w:t>
      </w:r>
    </w:p>
    <w:p w14:paraId="25411BEB" w14:textId="16CE1F4F" w:rsidR="00977D09" w:rsidRPr="00977D09" w:rsidRDefault="00977D09" w:rsidP="00977D09">
      <w:pPr>
        <w:jc w:val="both"/>
        <w:rPr>
          <w:rFonts w:asciiTheme="majorHAnsi" w:hAnsiTheme="majorHAnsi" w:cstheme="majorHAnsi"/>
        </w:rPr>
      </w:pPr>
      <w:r w:rsidRPr="00977D09">
        <w:rPr>
          <w:rFonts w:asciiTheme="majorHAnsi" w:hAnsiTheme="majorHAnsi" w:cstheme="majorHAnsi"/>
        </w:rPr>
        <w:t>Najviše je projekata financirano iz sektora voćarstva</w:t>
      </w:r>
      <w:r w:rsidR="00684AF7">
        <w:rPr>
          <w:rFonts w:asciiTheme="majorHAnsi" w:hAnsiTheme="majorHAnsi" w:cstheme="majorHAnsi"/>
        </w:rPr>
        <w:t xml:space="preserve"> </w:t>
      </w:r>
      <w:r w:rsidRPr="00977D09">
        <w:rPr>
          <w:rFonts w:asciiTheme="majorHAnsi" w:hAnsiTheme="majorHAnsi" w:cstheme="majorHAnsi"/>
        </w:rPr>
        <w:t>(</w:t>
      </w:r>
      <w:r w:rsidR="00684AF7">
        <w:rPr>
          <w:rFonts w:asciiTheme="majorHAnsi" w:hAnsiTheme="majorHAnsi" w:cstheme="majorHAnsi"/>
        </w:rPr>
        <w:t>17</w:t>
      </w:r>
      <w:r w:rsidRPr="00977D09">
        <w:rPr>
          <w:rFonts w:asciiTheme="majorHAnsi" w:hAnsiTheme="majorHAnsi" w:cstheme="majorHAnsi"/>
        </w:rPr>
        <w:t xml:space="preserve"> projekata), vinarstva i vinogradarstva (13 projekata)</w:t>
      </w:r>
      <w:r w:rsidR="00684AF7">
        <w:rPr>
          <w:rFonts w:asciiTheme="majorHAnsi" w:hAnsiTheme="majorHAnsi" w:cstheme="majorHAnsi"/>
        </w:rPr>
        <w:t>, ratarstva (10 projekata)</w:t>
      </w:r>
      <w:r w:rsidRPr="00977D09">
        <w:rPr>
          <w:rFonts w:asciiTheme="majorHAnsi" w:hAnsiTheme="majorHAnsi" w:cstheme="majorHAnsi"/>
        </w:rPr>
        <w:t xml:space="preserve"> i javne infrastrukture (1</w:t>
      </w:r>
      <w:r w:rsidR="006521A0">
        <w:rPr>
          <w:rFonts w:asciiTheme="majorHAnsi" w:hAnsiTheme="majorHAnsi" w:cstheme="majorHAnsi"/>
        </w:rPr>
        <w:t>8</w:t>
      </w:r>
      <w:r w:rsidRPr="00977D09">
        <w:rPr>
          <w:rFonts w:asciiTheme="majorHAnsi" w:hAnsiTheme="majorHAnsi" w:cstheme="majorHAnsi"/>
        </w:rPr>
        <w:t xml:space="preserve"> projekata).</w:t>
      </w:r>
    </w:p>
    <w:p w14:paraId="0523688F" w14:textId="5CB10B83" w:rsidR="00977D09" w:rsidRPr="00977D09" w:rsidRDefault="00977D09" w:rsidP="00977D09">
      <w:pPr>
        <w:jc w:val="both"/>
        <w:rPr>
          <w:rFonts w:asciiTheme="majorHAnsi" w:hAnsiTheme="majorHAnsi" w:cstheme="majorHAnsi"/>
        </w:rPr>
      </w:pPr>
      <w:r w:rsidRPr="00977D09">
        <w:rPr>
          <w:rFonts w:asciiTheme="majorHAnsi" w:hAnsiTheme="majorHAnsi" w:cstheme="majorHAnsi"/>
        </w:rPr>
        <w:t xml:space="preserve">Struktura prijavitelja pokazuje nam kako su zastupljeniji pripadnici muškog spola tj. svega </w:t>
      </w:r>
      <w:r w:rsidR="00684AF7">
        <w:rPr>
          <w:rFonts w:asciiTheme="majorHAnsi" w:hAnsiTheme="majorHAnsi" w:cstheme="majorHAnsi"/>
        </w:rPr>
        <w:t>13,79</w:t>
      </w:r>
      <w:r w:rsidRPr="00977D09">
        <w:rPr>
          <w:rFonts w:asciiTheme="majorHAnsi" w:hAnsiTheme="majorHAnsi" w:cstheme="majorHAnsi"/>
        </w:rPr>
        <w:t xml:space="preserve">% nositeljica projekata je ženskog roda. Od svih prijavitelja čak je </w:t>
      </w:r>
      <w:r w:rsidR="006A096D">
        <w:rPr>
          <w:rFonts w:asciiTheme="majorHAnsi" w:hAnsiTheme="majorHAnsi" w:cstheme="majorHAnsi"/>
        </w:rPr>
        <w:t>44,83</w:t>
      </w:r>
      <w:r w:rsidRPr="00977D09">
        <w:rPr>
          <w:rFonts w:asciiTheme="majorHAnsi" w:hAnsiTheme="majorHAnsi" w:cstheme="majorHAnsi"/>
        </w:rPr>
        <w:t>% mladih</w:t>
      </w:r>
      <w:r w:rsidR="006A096D">
        <w:rPr>
          <w:rFonts w:asciiTheme="majorHAnsi" w:hAnsiTheme="majorHAnsi" w:cstheme="majorHAnsi"/>
        </w:rPr>
        <w:t>,</w:t>
      </w:r>
      <w:r w:rsidRPr="00977D09">
        <w:rPr>
          <w:rFonts w:asciiTheme="majorHAnsi" w:hAnsiTheme="majorHAnsi" w:cstheme="majorHAnsi"/>
        </w:rPr>
        <w:t xml:space="preserve"> do 40 godina.</w:t>
      </w:r>
    </w:p>
    <w:p w14:paraId="69F1F9C1" w14:textId="41EDDAFE" w:rsidR="00B13DA2" w:rsidRPr="00977D09" w:rsidRDefault="00977D09" w:rsidP="00977D09">
      <w:pPr>
        <w:jc w:val="both"/>
        <w:rPr>
          <w:rFonts w:asciiTheme="majorHAnsi" w:hAnsiTheme="majorHAnsi" w:cstheme="majorHAnsi"/>
        </w:rPr>
      </w:pPr>
      <w:r w:rsidRPr="00977D09">
        <w:rPr>
          <w:rFonts w:asciiTheme="majorHAnsi" w:hAnsiTheme="majorHAnsi" w:cstheme="majorHAnsi"/>
        </w:rPr>
        <w:t>Najveći broj prijavitelja na LAG Natječajima, njih 5</w:t>
      </w:r>
      <w:r w:rsidR="006A096D">
        <w:rPr>
          <w:rFonts w:asciiTheme="majorHAnsi" w:hAnsiTheme="majorHAnsi" w:cstheme="majorHAnsi"/>
        </w:rPr>
        <w:t>7</w:t>
      </w:r>
      <w:r w:rsidRPr="00977D09">
        <w:rPr>
          <w:rFonts w:asciiTheme="majorHAnsi" w:hAnsiTheme="majorHAnsi" w:cstheme="majorHAnsi"/>
        </w:rPr>
        <w:t xml:space="preserve"> imalo je adekvatne kompetencije za provedbu projekata izu područja poljoprivrede, Za prijavitelje iz područja javnog sektora ovi podaci nisu prikupljani obzirom da nisu bili kriterij odabira.</w:t>
      </w:r>
    </w:p>
    <w:sectPr w:rsidR="00B13DA2" w:rsidRPr="00977D09" w:rsidSect="00560E96">
      <w:pgSz w:w="11906" w:h="16838" w:code="9"/>
      <w:pgMar w:top="1417" w:right="1417" w:bottom="1135" w:left="1417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37A3" w14:textId="77777777" w:rsidR="00850EE7" w:rsidRDefault="00850EE7" w:rsidP="00395039">
      <w:pPr>
        <w:spacing w:after="0" w:line="240" w:lineRule="auto"/>
      </w:pPr>
      <w:r>
        <w:separator/>
      </w:r>
    </w:p>
  </w:endnote>
  <w:endnote w:type="continuationSeparator" w:id="0">
    <w:p w14:paraId="27548451" w14:textId="77777777" w:rsidR="00850EE7" w:rsidRDefault="00850EE7" w:rsidP="00395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317C" w14:textId="77777777" w:rsidR="00850EE7" w:rsidRDefault="00850EE7" w:rsidP="00395039">
      <w:pPr>
        <w:spacing w:after="0" w:line="240" w:lineRule="auto"/>
      </w:pPr>
      <w:r>
        <w:separator/>
      </w:r>
    </w:p>
  </w:footnote>
  <w:footnote w:type="continuationSeparator" w:id="0">
    <w:p w14:paraId="3185BE9A" w14:textId="77777777" w:rsidR="00850EE7" w:rsidRDefault="00850EE7" w:rsidP="00395039">
      <w:pPr>
        <w:spacing w:after="0" w:line="240" w:lineRule="auto"/>
      </w:pPr>
      <w:r>
        <w:continuationSeparator/>
      </w:r>
    </w:p>
  </w:footnote>
  <w:footnote w:id="1">
    <w:p w14:paraId="7A98F6C9" w14:textId="2D9CAAEF" w:rsidR="00E57173" w:rsidRDefault="00E57173">
      <w:pPr>
        <w:pStyle w:val="Tekstfusnote"/>
      </w:pPr>
      <w:r>
        <w:rPr>
          <w:rStyle w:val="Referencafusnote"/>
        </w:rPr>
        <w:footnoteRef/>
      </w:r>
      <w:r>
        <w:t xml:space="preserve"> Dodijeljeno </w:t>
      </w:r>
      <w:r w:rsidRPr="00FE7D9A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Ugovorom o dodjeli sredstava odabranom LAG-u od 20. veljače 2017.</w:t>
      </w:r>
    </w:p>
  </w:footnote>
  <w:footnote w:id="2">
    <w:p w14:paraId="2293F900" w14:textId="6750E298" w:rsidR="00E57173" w:rsidRDefault="00E57173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Iznos </w:t>
      </w:r>
      <w:r w:rsidRPr="00FE7D9A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s uključenim dodatnim sredstvima iz Odluke o Izmjeni Odluke o dodjeli sredstava odabranom LAG-u od 4. kolovoza 2021.)</w:t>
      </w:r>
    </w:p>
  </w:footnote>
  <w:footnote w:id="3">
    <w:p w14:paraId="6D5F47DF" w14:textId="643A46E8" w:rsidR="00DF1D72" w:rsidRDefault="00DF1D72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FE7D9A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sukladno Odluci o izmjeni Odluke o dodjeli sredstava odabranom LAG-u od 5.svibnja 2021.)</w:t>
      </w:r>
    </w:p>
  </w:footnote>
  <w:footnote w:id="4">
    <w:p w14:paraId="07B336BE" w14:textId="7FEE3D6E" w:rsidR="00395039" w:rsidRDefault="00395039" w:rsidP="00395039">
      <w:pPr>
        <w:pStyle w:val="Tekstfusnote"/>
      </w:pPr>
      <w:r>
        <w:rPr>
          <w:rStyle w:val="Referencafusnote"/>
        </w:rPr>
        <w:footnoteRef/>
      </w:r>
      <w:r>
        <w:t xml:space="preserve"> Podmjera 19.1. Pripremna pomoć</w:t>
      </w:r>
    </w:p>
  </w:footnote>
  <w:footnote w:id="5">
    <w:p w14:paraId="6BCE1757" w14:textId="104BB690" w:rsidR="00395039" w:rsidRDefault="00395039">
      <w:pPr>
        <w:pStyle w:val="Tekstfusnote"/>
      </w:pPr>
      <w:r>
        <w:rPr>
          <w:rStyle w:val="Referencafusnote"/>
        </w:rPr>
        <w:footnoteRef/>
      </w:r>
      <w:r>
        <w:t xml:space="preserve"> P</w:t>
      </w:r>
      <w:r w:rsidRPr="00395039">
        <w:t>odmjer</w:t>
      </w:r>
      <w:r>
        <w:t>a</w:t>
      </w:r>
      <w:r w:rsidRPr="00395039">
        <w:t xml:space="preserve"> 19.2. “Provedba operacija unutar CLLD strategije”</w:t>
      </w:r>
    </w:p>
  </w:footnote>
  <w:footnote w:id="6">
    <w:p w14:paraId="13214230" w14:textId="5A447BBC" w:rsidR="00395039" w:rsidRDefault="00395039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95039">
        <w:t>Podmjere 19.3. »Priprema i provedba aktivnosti suradnje LAG-a«</w:t>
      </w:r>
    </w:p>
  </w:footnote>
  <w:footnote w:id="7">
    <w:p w14:paraId="09577848" w14:textId="2CDBBC16" w:rsidR="00395039" w:rsidRDefault="00395039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95039">
        <w:t>Podmjer</w:t>
      </w:r>
      <w:r>
        <w:t>a</w:t>
      </w:r>
      <w:r w:rsidRPr="00395039">
        <w:t xml:space="preserve"> 19.4. »Tekući troškovi i animacija«</w:t>
      </w:r>
    </w:p>
  </w:footnote>
  <w:footnote w:id="8">
    <w:p w14:paraId="2F4FE756" w14:textId="52E7D791" w:rsidR="003C632C" w:rsidRDefault="003C632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95039">
        <w:t>TO 1.1.1.''Potpora razvoju malih poljoprivrednih gospodarstava''</w:t>
      </w:r>
    </w:p>
  </w:footnote>
  <w:footnote w:id="9">
    <w:p w14:paraId="78476119" w14:textId="3F4B893C" w:rsidR="003C632C" w:rsidRDefault="003C632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9C0312">
        <w:t>TO 1.1.2.  "Potpora razvoju i modernizaciji poljoprivrednih gospodarstava"</w:t>
      </w:r>
    </w:p>
  </w:footnote>
  <w:footnote w:id="10">
    <w:p w14:paraId="0D8BDC37" w14:textId="092D363C" w:rsidR="003C632C" w:rsidRDefault="003C632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9C0312">
        <w:t>TO 1.2.1.. ''Potpora stvaranju nepoljoprivrednih djelatnosti i turizma''</w:t>
      </w:r>
    </w:p>
  </w:footnote>
  <w:footnote w:id="11">
    <w:p w14:paraId="3435F9EE" w14:textId="76D1A111" w:rsidR="003C632C" w:rsidRDefault="003C632C">
      <w:pPr>
        <w:pStyle w:val="Tekstfusnote"/>
      </w:pPr>
      <w:r>
        <w:rPr>
          <w:rStyle w:val="Referencafusnote"/>
        </w:rPr>
        <w:footnoteRef/>
      </w:r>
      <w:r>
        <w:t xml:space="preserve"> TO. 2.1.1. "Potpora razvoju opće društvene infrastrukture te poboljšanju uvjeta života na ruralnom prostoru"</w:t>
      </w:r>
    </w:p>
  </w:footnote>
  <w:footnote w:id="12">
    <w:p w14:paraId="3D7037E5" w14:textId="77777777" w:rsidR="00DF56C8" w:rsidRDefault="00DF56C8" w:rsidP="00FC305F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95039">
        <w:t>TO 1.1.1.''Potpora razvoju malih poljoprivrednih gospodarstava''</w:t>
      </w:r>
    </w:p>
  </w:footnote>
  <w:footnote w:id="13">
    <w:p w14:paraId="151D1ED7" w14:textId="77777777" w:rsidR="00DF56C8" w:rsidRDefault="00DF56C8" w:rsidP="00FC305F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9C0312">
        <w:t>TO 1.1.2.  "Potpora razvoju i modernizaciji poljoprivrednih gospodarstava"</w:t>
      </w:r>
    </w:p>
  </w:footnote>
  <w:footnote w:id="14">
    <w:p w14:paraId="1934DEFF" w14:textId="77777777" w:rsidR="00DF56C8" w:rsidRDefault="00DF56C8" w:rsidP="00FC305F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9C0312">
        <w:t>TO 1.2.1.. ''Potpora stvaranju nepoljoprivrednih djelatnosti i turizma''</w:t>
      </w:r>
    </w:p>
  </w:footnote>
  <w:footnote w:id="15">
    <w:p w14:paraId="1C5B9BA7" w14:textId="77777777" w:rsidR="00DF56C8" w:rsidRDefault="00DF56C8" w:rsidP="00FC305F">
      <w:pPr>
        <w:pStyle w:val="Tekstfusnote"/>
      </w:pPr>
      <w:r>
        <w:rPr>
          <w:rStyle w:val="Referencafusnote"/>
        </w:rPr>
        <w:footnoteRef/>
      </w:r>
      <w:r>
        <w:t xml:space="preserve"> TO. 2.1.1. "Potpora razvoju opće društvene infrastrukture te poboljšanju uvjeta života na ruralnom prostoru"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7BA8"/>
    <w:multiLevelType w:val="hybridMultilevel"/>
    <w:tmpl w:val="6C16F2F4"/>
    <w:lvl w:ilvl="0" w:tplc="B6F42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623E"/>
    <w:multiLevelType w:val="hybridMultilevel"/>
    <w:tmpl w:val="B83A1A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625F7"/>
    <w:multiLevelType w:val="multilevel"/>
    <w:tmpl w:val="DC262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color w:val="4472C4" w:themeColor="accen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4472C4" w:themeColor="accen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47308102">
    <w:abstractNumId w:val="1"/>
  </w:num>
  <w:num w:numId="2" w16cid:durableId="232401053">
    <w:abstractNumId w:val="2"/>
  </w:num>
  <w:num w:numId="3" w16cid:durableId="41493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24"/>
    <w:rsid w:val="00001836"/>
    <w:rsid w:val="00006EB6"/>
    <w:rsid w:val="00031343"/>
    <w:rsid w:val="000315E7"/>
    <w:rsid w:val="00036829"/>
    <w:rsid w:val="000721BB"/>
    <w:rsid w:val="000A5255"/>
    <w:rsid w:val="000C3318"/>
    <w:rsid w:val="000C5B0D"/>
    <w:rsid w:val="000D5776"/>
    <w:rsid w:val="000D7DF5"/>
    <w:rsid w:val="000E63B7"/>
    <w:rsid w:val="000E7265"/>
    <w:rsid w:val="00110E71"/>
    <w:rsid w:val="00121D3F"/>
    <w:rsid w:val="0014285F"/>
    <w:rsid w:val="0014717A"/>
    <w:rsid w:val="001608BF"/>
    <w:rsid w:val="001641AF"/>
    <w:rsid w:val="001717C0"/>
    <w:rsid w:val="00177BC6"/>
    <w:rsid w:val="00177BF4"/>
    <w:rsid w:val="001A1C78"/>
    <w:rsid w:val="001C1EAD"/>
    <w:rsid w:val="001C2CB8"/>
    <w:rsid w:val="001C434F"/>
    <w:rsid w:val="001D2211"/>
    <w:rsid w:val="001E701C"/>
    <w:rsid w:val="001F7962"/>
    <w:rsid w:val="00210E16"/>
    <w:rsid w:val="00223B9C"/>
    <w:rsid w:val="0023750B"/>
    <w:rsid w:val="00240436"/>
    <w:rsid w:val="002848B2"/>
    <w:rsid w:val="002B1753"/>
    <w:rsid w:val="002C5703"/>
    <w:rsid w:val="002D074C"/>
    <w:rsid w:val="002D1D7C"/>
    <w:rsid w:val="002F1E4F"/>
    <w:rsid w:val="00300245"/>
    <w:rsid w:val="00301D86"/>
    <w:rsid w:val="00317BEB"/>
    <w:rsid w:val="00382505"/>
    <w:rsid w:val="00395039"/>
    <w:rsid w:val="003A70CD"/>
    <w:rsid w:val="003A7CB7"/>
    <w:rsid w:val="003C632C"/>
    <w:rsid w:val="003C7050"/>
    <w:rsid w:val="003D1855"/>
    <w:rsid w:val="003E1DE7"/>
    <w:rsid w:val="00420435"/>
    <w:rsid w:val="0042072E"/>
    <w:rsid w:val="00452661"/>
    <w:rsid w:val="0046690C"/>
    <w:rsid w:val="00473644"/>
    <w:rsid w:val="00480920"/>
    <w:rsid w:val="00482A98"/>
    <w:rsid w:val="004A241B"/>
    <w:rsid w:val="004B169F"/>
    <w:rsid w:val="004B1972"/>
    <w:rsid w:val="004B2BDC"/>
    <w:rsid w:val="004C213A"/>
    <w:rsid w:val="004D1898"/>
    <w:rsid w:val="004F5680"/>
    <w:rsid w:val="00540420"/>
    <w:rsid w:val="00560500"/>
    <w:rsid w:val="00560DE0"/>
    <w:rsid w:val="00560E96"/>
    <w:rsid w:val="00562E24"/>
    <w:rsid w:val="005A541F"/>
    <w:rsid w:val="005C22AC"/>
    <w:rsid w:val="005C250A"/>
    <w:rsid w:val="005C63E0"/>
    <w:rsid w:val="005D0DEC"/>
    <w:rsid w:val="005E141A"/>
    <w:rsid w:val="005E4863"/>
    <w:rsid w:val="00601C4C"/>
    <w:rsid w:val="006074BE"/>
    <w:rsid w:val="00615AF1"/>
    <w:rsid w:val="00627AC5"/>
    <w:rsid w:val="00651450"/>
    <w:rsid w:val="006521A0"/>
    <w:rsid w:val="00684AF7"/>
    <w:rsid w:val="00684E7B"/>
    <w:rsid w:val="006949E8"/>
    <w:rsid w:val="00696F8F"/>
    <w:rsid w:val="006A096D"/>
    <w:rsid w:val="006C70AE"/>
    <w:rsid w:val="00712378"/>
    <w:rsid w:val="00713433"/>
    <w:rsid w:val="007225C5"/>
    <w:rsid w:val="00747C5E"/>
    <w:rsid w:val="007522AA"/>
    <w:rsid w:val="007629C3"/>
    <w:rsid w:val="007661B7"/>
    <w:rsid w:val="00784896"/>
    <w:rsid w:val="00785CBF"/>
    <w:rsid w:val="007C0B46"/>
    <w:rsid w:val="007C114A"/>
    <w:rsid w:val="007C2A75"/>
    <w:rsid w:val="007E481C"/>
    <w:rsid w:val="007E6EC3"/>
    <w:rsid w:val="007F064B"/>
    <w:rsid w:val="008503F8"/>
    <w:rsid w:val="00850EE7"/>
    <w:rsid w:val="00853A97"/>
    <w:rsid w:val="00864873"/>
    <w:rsid w:val="00870CE8"/>
    <w:rsid w:val="00880547"/>
    <w:rsid w:val="008A54A5"/>
    <w:rsid w:val="008A7008"/>
    <w:rsid w:val="008C4A40"/>
    <w:rsid w:val="008C75A4"/>
    <w:rsid w:val="008D4EB0"/>
    <w:rsid w:val="008F4010"/>
    <w:rsid w:val="00903D38"/>
    <w:rsid w:val="009116F9"/>
    <w:rsid w:val="009351B4"/>
    <w:rsid w:val="00960640"/>
    <w:rsid w:val="00963269"/>
    <w:rsid w:val="00965E7C"/>
    <w:rsid w:val="00977D09"/>
    <w:rsid w:val="00986CE4"/>
    <w:rsid w:val="009A5C74"/>
    <w:rsid w:val="009C0312"/>
    <w:rsid w:val="009C0B89"/>
    <w:rsid w:val="009C14A3"/>
    <w:rsid w:val="009E2B81"/>
    <w:rsid w:val="009E3EA0"/>
    <w:rsid w:val="009F498B"/>
    <w:rsid w:val="00A27F6B"/>
    <w:rsid w:val="00A31113"/>
    <w:rsid w:val="00A47A28"/>
    <w:rsid w:val="00A5628D"/>
    <w:rsid w:val="00A61E7C"/>
    <w:rsid w:val="00A708C4"/>
    <w:rsid w:val="00A76F9E"/>
    <w:rsid w:val="00A91CC8"/>
    <w:rsid w:val="00AA19BE"/>
    <w:rsid w:val="00AA439D"/>
    <w:rsid w:val="00AA4C8E"/>
    <w:rsid w:val="00AB4842"/>
    <w:rsid w:val="00AC15FE"/>
    <w:rsid w:val="00AC25A4"/>
    <w:rsid w:val="00AC2D70"/>
    <w:rsid w:val="00AD42C8"/>
    <w:rsid w:val="00AD4BF8"/>
    <w:rsid w:val="00AD788D"/>
    <w:rsid w:val="00AE5EC4"/>
    <w:rsid w:val="00B13DA2"/>
    <w:rsid w:val="00B576C2"/>
    <w:rsid w:val="00B60BB2"/>
    <w:rsid w:val="00B624FB"/>
    <w:rsid w:val="00B65D4E"/>
    <w:rsid w:val="00B8524B"/>
    <w:rsid w:val="00BA1892"/>
    <w:rsid w:val="00BA233A"/>
    <w:rsid w:val="00BB1BE5"/>
    <w:rsid w:val="00BE1D90"/>
    <w:rsid w:val="00C06164"/>
    <w:rsid w:val="00C073E2"/>
    <w:rsid w:val="00C27DD4"/>
    <w:rsid w:val="00C30567"/>
    <w:rsid w:val="00C7479F"/>
    <w:rsid w:val="00CB0109"/>
    <w:rsid w:val="00CD198C"/>
    <w:rsid w:val="00D10107"/>
    <w:rsid w:val="00D43C12"/>
    <w:rsid w:val="00D51D18"/>
    <w:rsid w:val="00D51E44"/>
    <w:rsid w:val="00D52EB9"/>
    <w:rsid w:val="00D53B71"/>
    <w:rsid w:val="00D53E67"/>
    <w:rsid w:val="00D61938"/>
    <w:rsid w:val="00D74E5A"/>
    <w:rsid w:val="00DA7178"/>
    <w:rsid w:val="00DC2DC2"/>
    <w:rsid w:val="00DC52CE"/>
    <w:rsid w:val="00DC6E85"/>
    <w:rsid w:val="00DD475A"/>
    <w:rsid w:val="00DD5165"/>
    <w:rsid w:val="00DE2513"/>
    <w:rsid w:val="00DF1D72"/>
    <w:rsid w:val="00DF56C8"/>
    <w:rsid w:val="00E43095"/>
    <w:rsid w:val="00E44A61"/>
    <w:rsid w:val="00E4645C"/>
    <w:rsid w:val="00E47562"/>
    <w:rsid w:val="00E5072F"/>
    <w:rsid w:val="00E56E56"/>
    <w:rsid w:val="00E57173"/>
    <w:rsid w:val="00E63763"/>
    <w:rsid w:val="00E7109F"/>
    <w:rsid w:val="00E74CDA"/>
    <w:rsid w:val="00E753C3"/>
    <w:rsid w:val="00E80F22"/>
    <w:rsid w:val="00EB0368"/>
    <w:rsid w:val="00EB7FC9"/>
    <w:rsid w:val="00EC4EE5"/>
    <w:rsid w:val="00ED086B"/>
    <w:rsid w:val="00ED5EB6"/>
    <w:rsid w:val="00F25C3E"/>
    <w:rsid w:val="00F50839"/>
    <w:rsid w:val="00F6116D"/>
    <w:rsid w:val="00F87C92"/>
    <w:rsid w:val="00F92951"/>
    <w:rsid w:val="00FA55AA"/>
    <w:rsid w:val="00FB1C3B"/>
    <w:rsid w:val="00FB463B"/>
    <w:rsid w:val="00FC305F"/>
    <w:rsid w:val="00FC5D44"/>
    <w:rsid w:val="00FE3398"/>
    <w:rsid w:val="00F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3334"/>
  <w15:chartTrackingRefBased/>
  <w15:docId w15:val="{AC8953EE-1D26-4207-B187-138A722E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950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753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753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503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E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9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5039"/>
  </w:style>
  <w:style w:type="paragraph" w:styleId="Podnoje">
    <w:name w:val="footer"/>
    <w:basedOn w:val="Normal"/>
    <w:link w:val="PodnojeChar"/>
    <w:uiPriority w:val="99"/>
    <w:unhideWhenUsed/>
    <w:rsid w:val="0039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5039"/>
  </w:style>
  <w:style w:type="paragraph" w:styleId="Tekstfusnote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TekstfusnoteChar"/>
    <w:unhideWhenUsed/>
    <w:rsid w:val="0039503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Zadanifontodlomka"/>
    <w:link w:val="Tekstfusnote"/>
    <w:rsid w:val="00395039"/>
    <w:rPr>
      <w:sz w:val="20"/>
      <w:szCs w:val="20"/>
    </w:rPr>
  </w:style>
  <w:style w:type="character" w:styleId="Referencafusnote">
    <w:name w:val="footnote reference"/>
    <w:basedOn w:val="Zadanifontodlomka"/>
    <w:uiPriority w:val="99"/>
    <w:unhideWhenUsed/>
    <w:rsid w:val="00395039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395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proreda">
    <w:name w:val="No Spacing"/>
    <w:uiPriority w:val="1"/>
    <w:qFormat/>
    <w:rsid w:val="009C14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s"/>
      <w14:ligatures w14:val="none"/>
    </w:rPr>
  </w:style>
  <w:style w:type="character" w:styleId="Jakoisticanje">
    <w:name w:val="Intense Emphasis"/>
    <w:basedOn w:val="Zadanifontodlomka"/>
    <w:uiPriority w:val="21"/>
    <w:qFormat/>
    <w:rsid w:val="000A5255"/>
    <w:rPr>
      <w:i/>
      <w:iCs/>
      <w:color w:val="4472C4" w:themeColor="accent1"/>
    </w:rPr>
  </w:style>
  <w:style w:type="paragraph" w:styleId="Sadraj1">
    <w:name w:val="toc 1"/>
    <w:basedOn w:val="Normal"/>
    <w:uiPriority w:val="39"/>
    <w:qFormat/>
    <w:rsid w:val="00BE1D90"/>
    <w:pPr>
      <w:widowControl w:val="0"/>
      <w:autoSpaceDE w:val="0"/>
      <w:autoSpaceDN w:val="0"/>
      <w:spacing w:before="120" w:after="120" w:line="240" w:lineRule="auto"/>
    </w:pPr>
    <w:rPr>
      <w:rFonts w:eastAsia="Times New Roman" w:cstheme="minorHAnsi"/>
      <w:b/>
      <w:bCs/>
      <w:caps/>
      <w:kern w:val="0"/>
      <w:sz w:val="20"/>
      <w:szCs w:val="20"/>
      <w:lang w:val="bs"/>
      <w14:ligatures w14:val="none"/>
    </w:rPr>
  </w:style>
  <w:style w:type="paragraph" w:styleId="Sadraj2">
    <w:name w:val="toc 2"/>
    <w:basedOn w:val="Normal"/>
    <w:uiPriority w:val="39"/>
    <w:qFormat/>
    <w:rsid w:val="00BE1D90"/>
    <w:pPr>
      <w:widowControl w:val="0"/>
      <w:autoSpaceDE w:val="0"/>
      <w:autoSpaceDN w:val="0"/>
      <w:spacing w:after="0" w:line="240" w:lineRule="auto"/>
      <w:ind w:left="220"/>
    </w:pPr>
    <w:rPr>
      <w:rFonts w:eastAsia="Times New Roman" w:cstheme="minorHAnsi"/>
      <w:smallCaps/>
      <w:kern w:val="0"/>
      <w:sz w:val="20"/>
      <w:szCs w:val="20"/>
      <w:lang w:val="bs"/>
      <w14:ligatures w14:val="none"/>
    </w:rPr>
  </w:style>
  <w:style w:type="character" w:styleId="Hiperveza">
    <w:name w:val="Hyperlink"/>
    <w:basedOn w:val="Zadanifontodlomka"/>
    <w:uiPriority w:val="99"/>
    <w:unhideWhenUsed/>
    <w:rsid w:val="00BE1D90"/>
    <w:rPr>
      <w:color w:val="0563C1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BE1D90"/>
    <w:pPr>
      <w:widowControl w:val="0"/>
      <w:autoSpaceDE w:val="0"/>
      <w:autoSpaceDN w:val="0"/>
      <w:spacing w:after="0" w:line="240" w:lineRule="auto"/>
      <w:ind w:left="440"/>
    </w:pPr>
    <w:rPr>
      <w:rFonts w:eastAsia="Times New Roman" w:cstheme="minorHAnsi"/>
      <w:i/>
      <w:iCs/>
      <w:kern w:val="0"/>
      <w:sz w:val="20"/>
      <w:szCs w:val="20"/>
      <w:lang w:val="bs"/>
      <w14:ligatures w14:val="none"/>
    </w:rPr>
  </w:style>
  <w:style w:type="table" w:customStyle="1" w:styleId="Svijetlatablicareetke1-isticanje52">
    <w:name w:val="Svijetla tablica rešetke 1 - isticanje 52"/>
    <w:basedOn w:val="Obinatablica"/>
    <w:next w:val="Svijetlatablicareetke1-isticanje5"/>
    <w:uiPriority w:val="46"/>
    <w:rsid w:val="00BE1D9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BE1D9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slov2Char">
    <w:name w:val="Naslov 2 Char"/>
    <w:basedOn w:val="Zadanifontodlomka"/>
    <w:link w:val="Naslov2"/>
    <w:uiPriority w:val="9"/>
    <w:rsid w:val="00E753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753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B60BB2"/>
    <w:pPr>
      <w:ind w:left="720"/>
      <w:contextualSpacing/>
    </w:pPr>
  </w:style>
  <w:style w:type="table" w:styleId="Svijetlatablicareetke-isticanje1">
    <w:name w:val="Grid Table 1 Light Accent 1"/>
    <w:basedOn w:val="Obinatablica"/>
    <w:uiPriority w:val="46"/>
    <w:rsid w:val="00AA19BE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Spacing1">
    <w:name w:val="No Spacing1"/>
    <w:uiPriority w:val="1"/>
    <w:qFormat/>
    <w:rsid w:val="00DE2513"/>
    <w:pPr>
      <w:spacing w:after="200" w:line="276" w:lineRule="auto"/>
    </w:pPr>
    <w:rPr>
      <w:rFonts w:ascii="Calibri Light" w:eastAsia="Calibri" w:hAnsi="Calibri Light"/>
      <w:kern w:val="0"/>
      <w:sz w:val="24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696F8F"/>
    <w:rPr>
      <w:color w:val="605E5C"/>
      <w:shd w:val="clear" w:color="auto" w:fill="E1DFDD"/>
    </w:rPr>
  </w:style>
  <w:style w:type="character" w:customStyle="1" w:styleId="Naslov4Char">
    <w:name w:val="Naslov 4 Char"/>
    <w:basedOn w:val="Zadanifontodlomka"/>
    <w:link w:val="Naslov4"/>
    <w:uiPriority w:val="9"/>
    <w:rsid w:val="008503F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Korisnik2\AppData\Local\Microsoft\Windows\INetCache\Content.MSO\3A023B3A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Korisnik2\AppData\Local\Microsoft\Windows\INetCache\Content.MSO\3A023B3A.xls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agsava.h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1.7\d\EVIDENCIJE%20i%20IZVJE&#352;&#262;A\6_Pra&#263;enje%20projekata-Podaci%20APPRRR\2025_10_29-LOKALNA%20AKCIJSKA%20GRUPA%20SAV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Omjer dodijeljenih i isplaćenih sredstava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'Za evaluciju'!$B$2</c:f>
              <c:strCache>
                <c:ptCount val="1"/>
                <c:pt idx="0">
                  <c:v> Ukupan iznos dodijeljene potpore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'Za evaluciju'!$A$3:$A$7</c:f>
              <c:strCache>
                <c:ptCount val="5"/>
                <c:pt idx="0">
                  <c:v>IZNOS JAVNE POTPORE ZA 19.1.[1]</c:v>
                </c:pt>
                <c:pt idx="1">
                  <c:v>IZNOS JAVNE POTPORE ZA 19.2.  [2]</c:v>
                </c:pt>
                <c:pt idx="2">
                  <c:v>2. IZNOS JAVNE POTPORE ZA 19.3. [3]</c:v>
                </c:pt>
                <c:pt idx="3">
                  <c:v>3. IZNOS JAVNE POTPORE ZA 19.4. [4]</c:v>
                </c:pt>
                <c:pt idx="4">
                  <c:v>4. UKUPNO ZA 19.2. / 19.3. / 19.4. </c:v>
                </c:pt>
              </c:strCache>
            </c:strRef>
          </c:cat>
          <c:val>
            <c:numRef>
              <c:f>'Za evaluciju'!$B$3:$B$7</c:f>
              <c:numCache>
                <c:formatCode>#,##0.00\ [$€-1];[Red]\-#,##0.00\ [$€-1]</c:formatCode>
                <c:ptCount val="5"/>
                <c:pt idx="0">
                  <c:v>17886.14</c:v>
                </c:pt>
                <c:pt idx="1">
                  <c:v>1674371.53</c:v>
                </c:pt>
                <c:pt idx="2">
                  <c:v>47257.3</c:v>
                </c:pt>
                <c:pt idx="3">
                  <c:v>379679.22</c:v>
                </c:pt>
                <c:pt idx="4">
                  <c:v>2119194.19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15-4BC5-A089-C884DB875C8B}"/>
            </c:ext>
          </c:extLst>
        </c:ser>
        <c:ser>
          <c:idx val="1"/>
          <c:order val="1"/>
          <c:tx>
            <c:strRef>
              <c:f>'Za evaluciju'!$C$2</c:f>
              <c:strCache>
                <c:ptCount val="1"/>
                <c:pt idx="0">
                  <c:v>Ukupno isplaćena sredstva na dan 29.10.2025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'Za evaluciju'!$A$3:$A$7</c:f>
              <c:strCache>
                <c:ptCount val="5"/>
                <c:pt idx="0">
                  <c:v>IZNOS JAVNE POTPORE ZA 19.1.[1]</c:v>
                </c:pt>
                <c:pt idx="1">
                  <c:v>IZNOS JAVNE POTPORE ZA 19.2.  [2]</c:v>
                </c:pt>
                <c:pt idx="2">
                  <c:v>2. IZNOS JAVNE POTPORE ZA 19.3. [3]</c:v>
                </c:pt>
                <c:pt idx="3">
                  <c:v>3. IZNOS JAVNE POTPORE ZA 19.4. [4]</c:v>
                </c:pt>
                <c:pt idx="4">
                  <c:v>4. UKUPNO ZA 19.2. / 19.3. / 19.4. </c:v>
                </c:pt>
              </c:strCache>
            </c:strRef>
          </c:cat>
          <c:val>
            <c:numRef>
              <c:f>'Za evaluciju'!$C$3:$C$7</c:f>
              <c:numCache>
                <c:formatCode>_-* #,##0.00\ [$€-41A]_-;\-* #,##0.00\ [$€-41A]_-;_-* "-"??\ [$€-41A]_-;_-@_-</c:formatCode>
                <c:ptCount val="5"/>
                <c:pt idx="0">
                  <c:v>17886.14</c:v>
                </c:pt>
                <c:pt idx="1">
                  <c:v>1623243.2199999995</c:v>
                </c:pt>
                <c:pt idx="2">
                  <c:v>39184.449999999997</c:v>
                </c:pt>
                <c:pt idx="3">
                  <c:v>379679.22</c:v>
                </c:pt>
                <c:pt idx="4" formatCode="#,##0.00\ [$€-1];[Red]\-#,##0.00\ [$€-1]">
                  <c:v>2059993.0299999993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15-4BC5-A089-C884DB875C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87394655"/>
        <c:axId val="1787401375"/>
      </c:barChart>
      <c:lineChart>
        <c:grouping val="standard"/>
        <c:varyColors val="0"/>
        <c:ser>
          <c:idx val="2"/>
          <c:order val="2"/>
          <c:tx>
            <c:strRef>
              <c:f>'Za evaluciju'!$D$2</c:f>
              <c:strCache>
                <c:ptCount val="1"/>
                <c:pt idx="0">
                  <c:v>% uspješnosti provedbe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'Za evaluciju'!$A$3:$A$7</c:f>
              <c:strCache>
                <c:ptCount val="5"/>
                <c:pt idx="0">
                  <c:v>IZNOS JAVNE POTPORE ZA 19.1.[1]</c:v>
                </c:pt>
                <c:pt idx="1">
                  <c:v>IZNOS JAVNE POTPORE ZA 19.2.  [2]</c:v>
                </c:pt>
                <c:pt idx="2">
                  <c:v>2. IZNOS JAVNE POTPORE ZA 19.3. [3]</c:v>
                </c:pt>
                <c:pt idx="3">
                  <c:v>3. IZNOS JAVNE POTPORE ZA 19.4. [4]</c:v>
                </c:pt>
                <c:pt idx="4">
                  <c:v>4. UKUPNO ZA 19.2. / 19.3. / 19.4. </c:v>
                </c:pt>
              </c:strCache>
            </c:strRef>
          </c:cat>
          <c:val>
            <c:numRef>
              <c:f>'Za evaluciju'!$D$3:$D$7</c:f>
              <c:numCache>
                <c:formatCode>0.00%</c:formatCode>
                <c:ptCount val="5"/>
                <c:pt idx="0">
                  <c:v>1</c:v>
                </c:pt>
                <c:pt idx="1">
                  <c:v>0.96946417859840195</c:v>
                </c:pt>
                <c:pt idx="2">
                  <c:v>0.82917242415457493</c:v>
                </c:pt>
                <c:pt idx="3">
                  <c:v>1</c:v>
                </c:pt>
                <c:pt idx="4">
                  <c:v>0.97206430619744166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B15-4BC5-A089-C884DB875C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87402335"/>
        <c:axId val="1787409055"/>
      </c:lineChart>
      <c:catAx>
        <c:axId val="1787394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87401375"/>
        <c:crosses val="autoZero"/>
        <c:auto val="1"/>
        <c:lblAlgn val="ctr"/>
        <c:lblOffset val="100"/>
        <c:noMultiLvlLbl val="0"/>
      </c:catAx>
      <c:valAx>
        <c:axId val="1787401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€-1];[Red]\-#,##0.00\ [$€-1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87394655"/>
        <c:crosses val="autoZero"/>
        <c:crossBetween val="between"/>
      </c:valAx>
      <c:valAx>
        <c:axId val="1787409055"/>
        <c:scaling>
          <c:orientation val="minMax"/>
        </c:scaling>
        <c:delete val="0"/>
        <c:axPos val="r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87402335"/>
        <c:crosses val="max"/>
        <c:crossBetween val="between"/>
      </c:valAx>
      <c:catAx>
        <c:axId val="1787402335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8740905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8DA3F-8646-4CD4-AA6B-D0EBC027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5039</Words>
  <Characters>28724</Characters>
  <Application>Microsoft Office Word</Application>
  <DocSecurity>0</DocSecurity>
  <Lines>239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SAVA</dc:creator>
  <cp:keywords/>
  <dc:description/>
  <cp:lastModifiedBy>LAG SAVA</cp:lastModifiedBy>
  <cp:revision>3</cp:revision>
  <cp:lastPrinted>2025-01-16T13:56:00Z</cp:lastPrinted>
  <dcterms:created xsi:type="dcterms:W3CDTF">2025-11-03T14:44:00Z</dcterms:created>
  <dcterms:modified xsi:type="dcterms:W3CDTF">2025-11-07T15:34:00Z</dcterms:modified>
</cp:coreProperties>
</file>