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2AD38A7C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A26250" w:rsidRPr="00A26250">
        <w:rPr>
          <w:rFonts w:ascii="Times New Roman" w:hAnsi="Times New Roman" w:cs="Times New Roman"/>
          <w:b/>
          <w:sz w:val="28"/>
          <w:szCs w:val="28"/>
        </w:rPr>
        <w:t>TO 2.1.1. Potpora razvoju opće društvene infrastrukture te poboljšanju uvjeta života na ruralnom prostoru</w:t>
      </w:r>
      <w:r w:rsidR="00A26250" w:rsidRPr="00A26250" w:rsidDel="00A26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A26250">
        <w:rPr>
          <w:rFonts w:ascii="Times New Roman" w:hAnsi="Times New Roman" w:cs="Times New Roman"/>
          <w:b/>
          <w:sz w:val="28"/>
          <w:szCs w:val="28"/>
        </w:rPr>
        <w:t>SAVA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771ACB83" w:rsidR="00722F5F" w:rsidRPr="008A64B2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1BA44DE4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A262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FFC9A6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250" w:rsidRPr="00A26250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421DF29F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A969DD" w:rsidRPr="00A969DD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  <w:r w:rsidR="00A969DD">
        <w:rPr>
          <w:rFonts w:ascii="Times New Roman" w:hAnsi="Times New Roman" w:cs="Times New Roman"/>
          <w:i/>
          <w:sz w:val="24"/>
          <w:szCs w:val="24"/>
        </w:rPr>
        <w:t>.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C51DBF6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A969DD" w:rsidRPr="00A969DD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  <w:r w:rsidR="00A969DD">
        <w:rPr>
          <w:rFonts w:ascii="Times New Roman" w:hAnsi="Times New Roman" w:cs="Times New Roman"/>
          <w:i/>
          <w:sz w:val="24"/>
          <w:szCs w:val="24"/>
        </w:rPr>
        <w:t>,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21D4F13D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A969D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A969DD" w:rsidRPr="00813D72">
          <w:rPr>
            <w:rStyle w:val="Hiperveza"/>
            <w:rFonts w:ascii="Times New Roman" w:hAnsi="Times New Roman" w:cs="Times New Roman"/>
            <w:i/>
            <w:sz w:val="24"/>
            <w:szCs w:val="24"/>
          </w:rPr>
          <w:t>www.lagsava.hr</w:t>
        </w:r>
      </w:hyperlink>
      <w:r w:rsidR="00A969DD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bookmarkStart w:id="0" w:name="_MON_1590322649"/>
    <w:bookmarkEnd w:id="0"/>
    <w:p w14:paraId="37BBBE0D" w14:textId="679DBCD0" w:rsidR="00B31E8C" w:rsidRDefault="00A969D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9" o:title=""/>
          </v:shape>
          <o:OLEObject Type="Embed" ProgID="Excel.Sheet.12" ShapeID="_x0000_i1025" DrawAspect="Icon" ObjectID="_1601903480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3DD42E45" w14:textId="77777777" w:rsidR="007453DE" w:rsidRPr="007453DE" w:rsidRDefault="00B31E8C" w:rsidP="007453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r w:rsidRPr="007453DE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F16C24" w:rsidRPr="007453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7453DE" w:rsidRPr="007453DE">
        <w:rPr>
          <w:rFonts w:ascii="Times New Roman" w:hAnsi="Times New Roman" w:cs="Times New Roman"/>
          <w:b/>
          <w:color w:val="FF0000"/>
          <w:sz w:val="24"/>
          <w:szCs w:val="24"/>
        </w:rPr>
        <w:t>USKLAĐENOST PROJEKTA S LOKALNOM RAZVOJNOM STRATEGIJOM ODABRANOG LAG-a</w:t>
      </w:r>
    </w:p>
    <w:p w14:paraId="0FFFD514" w14:textId="77777777" w:rsidR="007453DE" w:rsidRPr="007453DE" w:rsidRDefault="007453DE" w:rsidP="007453D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3DE">
        <w:rPr>
          <w:rFonts w:ascii="Times New Roman" w:hAnsi="Times New Roman" w:cs="Times New Roman"/>
          <w:i/>
          <w:color w:val="FF0000"/>
          <w:sz w:val="24"/>
          <w:szCs w:val="24"/>
        </w:rPr>
        <w:t>(navesti cilj i prioritet iz lokalne razvojne strategije odabranog LAG-a, a iz kojih je vidljivo da je projekt u skladu s lokalnom razvojnom strategijom odabranog LAG-a; navesti broj poglavlja/stranice u kojem se navodi spomenuti cilj i prioritet iz LRS; opišite usklađenost projekta s LRS)</w:t>
      </w:r>
    </w:p>
    <w:bookmarkEnd w:id="1"/>
    <w:p w14:paraId="18245232" w14:textId="03325ADB" w:rsidR="00166728" w:rsidRPr="008A64B2" w:rsidRDefault="00166728" w:rsidP="007453DE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8A64B2" w:rsidRDefault="00670EE3" w:rsidP="00D875C8">
      <w:pPr>
        <w:spacing w:after="12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Pojašnjenje:</w:t>
      </w:r>
    </w:p>
    <w:p w14:paraId="2652EE77" w14:textId="2EE5D739" w:rsidR="00670EE3" w:rsidRPr="008A64B2" w:rsidRDefault="002A7962" w:rsidP="008E2C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Davatelj Izjave je n</w:t>
      </w:r>
      <w:r w:rsidR="00C45608">
        <w:rPr>
          <w:rFonts w:ascii="Times New Roman" w:hAnsi="Times New Roman" w:cs="Times New Roman"/>
          <w:i/>
        </w:rPr>
        <w:t>ositelj projekta</w:t>
      </w:r>
      <w:r w:rsidR="001A7A76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podnositelj p</w:t>
      </w:r>
      <w:r w:rsidR="00C45608">
        <w:rPr>
          <w:rFonts w:ascii="Times New Roman" w:hAnsi="Times New Roman" w:cs="Times New Roman"/>
          <w:i/>
        </w:rPr>
        <w:t xml:space="preserve">rijave </w:t>
      </w:r>
      <w:r w:rsidR="00C45608" w:rsidRPr="002A7962">
        <w:rPr>
          <w:rFonts w:ascii="Times New Roman" w:hAnsi="Times New Roman" w:cs="Times New Roman"/>
          <w:i/>
        </w:rPr>
        <w:t>projekta</w:t>
      </w:r>
      <w:r w:rsidR="00670EE3" w:rsidRPr="002A7962">
        <w:rPr>
          <w:rFonts w:ascii="Times New Roman" w:hAnsi="Times New Roman" w:cs="Times New Roman"/>
          <w:i/>
        </w:rPr>
        <w:t xml:space="preserve"> za </w:t>
      </w:r>
      <w:r w:rsidR="00A969DD" w:rsidRPr="00A969DD">
        <w:rPr>
          <w:rFonts w:ascii="Times New Roman" w:hAnsi="Times New Roman" w:cs="Times New Roman"/>
          <w:i/>
        </w:rPr>
        <w:t>TO 2.1.1. Potpora razvoju opće društvene infrastrukture te poboljšanju uvjeta života na ruralnom prostoru</w:t>
      </w:r>
    </w:p>
    <w:p w14:paraId="56931D5A" w14:textId="01706BF0" w:rsidR="00670EE3" w:rsidRPr="008A64B2" w:rsidRDefault="002A7962" w:rsidP="008E2C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n</w:t>
      </w:r>
      <w:r w:rsidR="00C45608">
        <w:rPr>
          <w:rFonts w:ascii="Times New Roman" w:hAnsi="Times New Roman" w:cs="Times New Roman"/>
          <w:i/>
        </w:rPr>
        <w:t>ositelj projekta</w:t>
      </w:r>
      <w:r w:rsidR="00670EE3" w:rsidRPr="008A64B2">
        <w:rPr>
          <w:rFonts w:ascii="Times New Roman" w:hAnsi="Times New Roman" w:cs="Times New Roman"/>
          <w:i/>
        </w:rPr>
        <w:t xml:space="preserve"> se treba u Izjavi obvezati </w:t>
      </w:r>
      <w:r w:rsidR="001E0A3C">
        <w:rPr>
          <w:rFonts w:ascii="Times New Roman" w:hAnsi="Times New Roman" w:cs="Times New Roman"/>
          <w:i/>
        </w:rPr>
        <w:t>te treba</w:t>
      </w:r>
      <w:r w:rsidR="001E0A3C" w:rsidRPr="008A64B2">
        <w:rPr>
          <w:rFonts w:ascii="Times New Roman" w:hAnsi="Times New Roman" w:cs="Times New Roman"/>
          <w:i/>
        </w:rPr>
        <w:t xml:space="preserve"> </w:t>
      </w:r>
      <w:r w:rsidR="00670EE3" w:rsidRPr="008A64B2">
        <w:rPr>
          <w:rFonts w:ascii="Times New Roman" w:hAnsi="Times New Roman" w:cs="Times New Roman"/>
          <w:i/>
        </w:rPr>
        <w:t>izjaviti da će planirano ulaganje biti dostupno lokalnom stanovništvu i različitim interesnim skupinama.</w:t>
      </w:r>
    </w:p>
    <w:p w14:paraId="64D9E288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U Izjavi je potrebno nabrojiti interesne skupine krajnje korisnike projekta/operacije.</w:t>
      </w:r>
    </w:p>
    <w:p w14:paraId="15D45745" w14:textId="1B0F92A3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Izjava mora biti potpisan</w:t>
      </w:r>
      <w:r w:rsidR="002A7962">
        <w:rPr>
          <w:rFonts w:ascii="Times New Roman" w:hAnsi="Times New Roman" w:cs="Times New Roman"/>
          <w:i/>
        </w:rPr>
        <w:t>a i ovjerena od strane n</w:t>
      </w:r>
      <w:r w:rsidR="00C45608">
        <w:rPr>
          <w:rFonts w:ascii="Times New Roman" w:hAnsi="Times New Roman" w:cs="Times New Roman"/>
          <w:i/>
        </w:rPr>
        <w:t>ositelja projekta</w:t>
      </w:r>
      <w:r w:rsidR="002E321A" w:rsidRPr="008A64B2">
        <w:rPr>
          <w:rFonts w:ascii="Times New Roman" w:hAnsi="Times New Roman" w:cs="Times New Roman"/>
          <w:i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E9BF" w14:textId="77777777" w:rsidR="008019E8" w:rsidRDefault="008019E8" w:rsidP="004F23D4">
      <w:pPr>
        <w:spacing w:after="0" w:line="240" w:lineRule="auto"/>
      </w:pPr>
      <w:r>
        <w:separator/>
      </w:r>
    </w:p>
  </w:endnote>
  <w:endnote w:type="continuationSeparator" w:id="0">
    <w:p w14:paraId="2501EB38" w14:textId="77777777" w:rsidR="008019E8" w:rsidRDefault="008019E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053E0DEB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55F8" w14:textId="77777777" w:rsidR="008019E8" w:rsidRDefault="008019E8" w:rsidP="004F23D4">
      <w:pPr>
        <w:spacing w:after="0" w:line="240" w:lineRule="auto"/>
      </w:pPr>
      <w:r>
        <w:separator/>
      </w:r>
    </w:p>
  </w:footnote>
  <w:footnote w:type="continuationSeparator" w:id="0">
    <w:p w14:paraId="11FB8B23" w14:textId="77777777" w:rsidR="008019E8" w:rsidRDefault="008019E8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F2D6" w14:textId="4BF1EEC5" w:rsidR="00A26250" w:rsidRDefault="00A26250" w:rsidP="00A969DD">
    <w:pPr>
      <w:pStyle w:val="Zaglavlje"/>
      <w:tabs>
        <w:tab w:val="clear" w:pos="4536"/>
        <w:tab w:val="clear" w:pos="9072"/>
        <w:tab w:val="left" w:pos="7150"/>
        <w:tab w:val="right" w:pos="9412"/>
      </w:tabs>
    </w:pPr>
    <w:r>
      <w:tab/>
    </w:r>
    <w:r>
      <w:tab/>
    </w:r>
    <w:r>
      <w:rPr>
        <w:noProof/>
      </w:rPr>
      <w:drawing>
        <wp:inline distT="0" distB="0" distL="0" distR="0" wp14:anchorId="1B61E358" wp14:editId="155B7067">
          <wp:extent cx="1367624" cy="583001"/>
          <wp:effectExtent l="0" t="0" r="4445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11" cy="59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38DD"/>
    <w:rsid w:val="002D623E"/>
    <w:rsid w:val="002E321A"/>
    <w:rsid w:val="00303651"/>
    <w:rsid w:val="00304B30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261C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453DE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26250"/>
    <w:rsid w:val="00A43B31"/>
    <w:rsid w:val="00A50AEB"/>
    <w:rsid w:val="00A60967"/>
    <w:rsid w:val="00A67D01"/>
    <w:rsid w:val="00A7178A"/>
    <w:rsid w:val="00A9409E"/>
    <w:rsid w:val="00A969DD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9D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sav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656B-8794-437C-A755-1704478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3531</Words>
  <Characters>20128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SAVA</cp:lastModifiedBy>
  <cp:revision>3</cp:revision>
  <dcterms:created xsi:type="dcterms:W3CDTF">2018-10-24T14:21:00Z</dcterms:created>
  <dcterms:modified xsi:type="dcterms:W3CDTF">2018-10-24T14:25:00Z</dcterms:modified>
</cp:coreProperties>
</file>